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before="12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before="12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before="12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before="12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before="12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Piano integrato di attività ed organizzazione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before="12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sottosezione relativa a</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d9d9d9" w:val="clear"/>
        <w:spacing w:after="0" w:before="12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Rischi corruttivi e trasparenza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d9d9d9" w:val="clear"/>
        <w:spacing w:after="0" w:before="12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(art. 3 lett. c) del DM 30/6/2022 n. 132)</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before="12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before="12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before="12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before="12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Arial" w:cs="Arial" w:eastAsia="Arial" w:hAnsi="Arial"/>
          <w:color w:val="0f243e"/>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Arial" w:cs="Arial" w:eastAsia="Arial" w:hAnsi="Arial"/>
          <w:color w:val="0f243e"/>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Arial" w:cs="Arial" w:eastAsia="Arial" w:hAnsi="Arial"/>
          <w:color w:val="0f243e"/>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Arial" w:cs="Arial" w:eastAsia="Arial" w:hAnsi="Arial"/>
          <w:color w:val="0f243e"/>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Arial" w:cs="Arial" w:eastAsia="Arial" w:hAnsi="Arial"/>
          <w:color w:val="0f243e"/>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Arial" w:cs="Arial" w:eastAsia="Arial" w:hAnsi="Arial"/>
          <w:color w:val="0f243e"/>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Arial" w:cs="Arial" w:eastAsia="Arial" w:hAnsi="Arial"/>
          <w:color w:val="0f243e"/>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Arial" w:cs="Arial" w:eastAsia="Arial" w:hAnsi="Arial"/>
          <w:color w:val="0f243e"/>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16">
      <w:pPr>
        <w:spacing w:after="0" w:before="12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17">
      <w:pPr>
        <w:spacing w:after="0" w:before="120" w:line="240" w:lineRule="auto"/>
        <w:jc w:val="both"/>
        <w:rPr>
          <w:rFonts w:ascii="Arial" w:cs="Arial" w:eastAsia="Arial" w:hAnsi="Arial"/>
          <w:color w:val="0f243e"/>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before="120" w:line="240" w:lineRule="auto"/>
        <w:rPr>
          <w:rFonts w:ascii="Arial" w:cs="Arial" w:eastAsia="Arial" w:hAnsi="Arial"/>
          <w:b w:val="1"/>
          <w:color w:val="0f243e"/>
          <w:sz w:val="24"/>
          <w:szCs w:val="24"/>
          <w:u w:val="singl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before="120" w:line="240" w:lineRule="auto"/>
        <w:rPr>
          <w:rFonts w:ascii="Arial" w:cs="Arial" w:eastAsia="Arial" w:hAnsi="Arial"/>
          <w:b w:val="1"/>
          <w:color w:val="0f243e"/>
          <w:sz w:val="24"/>
          <w:szCs w:val="24"/>
          <w:u w:val="singl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before="120" w:line="240" w:lineRule="auto"/>
        <w:rPr>
          <w:rFonts w:ascii="Arial" w:cs="Arial" w:eastAsia="Arial" w:hAnsi="Arial"/>
          <w:b w:val="1"/>
          <w:color w:val="0f243e"/>
          <w:sz w:val="24"/>
          <w:szCs w:val="24"/>
          <w:u w:val="singl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before="120" w:line="240" w:lineRule="auto"/>
        <w:rPr>
          <w:rFonts w:ascii="Arial" w:cs="Arial" w:eastAsia="Arial" w:hAnsi="Arial"/>
          <w:b w:val="1"/>
          <w:color w:val="0f243e"/>
          <w:sz w:val="24"/>
          <w:szCs w:val="24"/>
          <w:u w:val="singl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before="120" w:line="240" w:lineRule="auto"/>
        <w:rPr>
          <w:rFonts w:ascii="Arial" w:cs="Arial" w:eastAsia="Arial" w:hAnsi="Arial"/>
          <w:b w:val="1"/>
          <w:color w:val="0f243e"/>
          <w:sz w:val="24"/>
          <w:szCs w:val="24"/>
          <w:u w:val="singl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before="120" w:line="240" w:lineRule="auto"/>
        <w:rPr>
          <w:rFonts w:ascii="Arial" w:cs="Arial" w:eastAsia="Arial" w:hAnsi="Arial"/>
          <w:b w:val="1"/>
          <w:color w:val="0f243e"/>
          <w:sz w:val="24"/>
          <w:szCs w:val="24"/>
          <w:u w:val="singl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before="120" w:line="240" w:lineRule="auto"/>
        <w:rPr>
          <w:rFonts w:ascii="Arial" w:cs="Arial" w:eastAsia="Arial" w:hAnsi="Arial"/>
          <w:b w:val="1"/>
          <w:color w:val="0f243e"/>
          <w:sz w:val="24"/>
          <w:szCs w:val="24"/>
          <w:u w:val="singl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before="120" w:line="240" w:lineRule="auto"/>
        <w:rPr>
          <w:rFonts w:ascii="Arial" w:cs="Arial" w:eastAsia="Arial" w:hAnsi="Arial"/>
          <w:b w:val="1"/>
          <w:color w:val="000000"/>
          <w:sz w:val="24"/>
          <w:szCs w:val="24"/>
          <w:u w:val="single"/>
        </w:rPr>
      </w:pPr>
      <w:r w:rsidDel="00000000" w:rsidR="00000000" w:rsidRPr="00000000">
        <w:rPr>
          <w:rFonts w:ascii="Arial" w:cs="Arial" w:eastAsia="Arial" w:hAnsi="Arial"/>
          <w:b w:val="1"/>
          <w:color w:val="0f243e"/>
          <w:sz w:val="24"/>
          <w:szCs w:val="24"/>
          <w:u w:val="single"/>
          <w:rtl w:val="0"/>
        </w:rPr>
        <w:t xml:space="preserve">A</w:t>
      </w:r>
      <w:r w:rsidDel="00000000" w:rsidR="00000000" w:rsidRPr="00000000">
        <w:rPr>
          <w:rFonts w:ascii="Arial" w:cs="Arial" w:eastAsia="Arial" w:hAnsi="Arial"/>
          <w:b w:val="1"/>
          <w:color w:val="000000"/>
          <w:sz w:val="24"/>
          <w:szCs w:val="24"/>
          <w:u w:val="single"/>
          <w:rtl w:val="0"/>
        </w:rPr>
        <w:t xml:space="preserve">llegati:</w:t>
      </w:r>
    </w:p>
    <w:p w:rsidR="00000000" w:rsidDel="00000000" w:rsidP="00000000" w:rsidRDefault="00000000" w:rsidRPr="00000000" w14:paraId="00000020">
      <w:pPr>
        <w:spacing w:after="0" w:before="120" w:line="240" w:lineRule="auto"/>
        <w:jc w:val="both"/>
        <w:rPr>
          <w:rFonts w:ascii="Arial" w:cs="Arial" w:eastAsia="Arial" w:hAnsi="Arial"/>
          <w:b w:val="1"/>
          <w:i w:val="1"/>
          <w:sz w:val="24"/>
          <w:szCs w:val="24"/>
        </w:rPr>
      </w:pPr>
      <w:r w:rsidDel="00000000" w:rsidR="00000000" w:rsidRPr="00000000">
        <w:rPr>
          <w:rFonts w:ascii="Arial" w:cs="Arial" w:eastAsia="Arial" w:hAnsi="Arial"/>
          <w:i w:val="1"/>
          <w:sz w:val="24"/>
          <w:szCs w:val="24"/>
          <w:rtl w:val="0"/>
        </w:rPr>
        <w:t xml:space="preserve">A- Mappatura dei processi e Catalogo dei rischi;</w:t>
      </w:r>
      <w:r w:rsidDel="00000000" w:rsidR="00000000" w:rsidRPr="00000000">
        <w:rPr>
          <w:rFonts w:ascii="Arial" w:cs="Arial" w:eastAsia="Arial" w:hAnsi="Arial"/>
          <w:b w:val="1"/>
          <w:i w:val="1"/>
          <w:sz w:val="24"/>
          <w:szCs w:val="24"/>
          <w:rtl w:val="0"/>
        </w:rPr>
        <w:t xml:space="preserve"> </w:t>
      </w:r>
    </w:p>
    <w:p w:rsidR="00000000" w:rsidDel="00000000" w:rsidP="00000000" w:rsidRDefault="00000000" w:rsidRPr="00000000" w14:paraId="00000021">
      <w:pPr>
        <w:spacing w:after="0" w:before="120"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B- Analisi dei rischi; </w:t>
      </w:r>
    </w:p>
    <w:p w:rsidR="00000000" w:rsidDel="00000000" w:rsidP="00000000" w:rsidRDefault="00000000" w:rsidRPr="00000000" w14:paraId="00000022">
      <w:pPr>
        <w:spacing w:after="0" w:before="120"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 Individuazione e programmazione delle misure; </w:t>
      </w:r>
    </w:p>
    <w:p w:rsidR="00000000" w:rsidDel="00000000" w:rsidP="00000000" w:rsidRDefault="00000000" w:rsidRPr="00000000" w14:paraId="00000023">
      <w:pPr>
        <w:spacing w:after="0" w:before="120"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C1 – Individuazione delle principali misure per aree di rischio; </w:t>
      </w:r>
    </w:p>
    <w:p w:rsidR="00000000" w:rsidDel="00000000" w:rsidP="00000000" w:rsidRDefault="00000000" w:rsidRPr="00000000" w14:paraId="00000024">
      <w:pPr>
        <w:spacing w:after="0" w:before="120"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D- Misure di trasparenza; </w:t>
      </w:r>
    </w:p>
    <w:p w:rsidR="00000000" w:rsidDel="00000000" w:rsidP="00000000" w:rsidRDefault="00000000" w:rsidRPr="00000000" w14:paraId="00000025">
      <w:pPr>
        <w:spacing w:after="0" w:before="120"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E- Patto di integrità. </w:t>
      </w:r>
    </w:p>
    <w:p w:rsidR="00000000" w:rsidDel="00000000" w:rsidP="00000000" w:rsidRDefault="00000000" w:rsidRPr="00000000" w14:paraId="00000026">
      <w:pPr>
        <w:spacing w:after="0" w:before="120" w:line="240" w:lineRule="auto"/>
        <w:jc w:val="both"/>
        <w:rPr>
          <w:rFonts w:ascii="Arial" w:cs="Arial" w:eastAsia="Arial" w:hAnsi="Arial"/>
          <w:color w:val="0f243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7">
      <w:pPr>
        <w:keepNext w:val="1"/>
        <w:widowControl w:val="0"/>
        <w:numPr>
          <w:ilvl w:val="0"/>
          <w:numId w:val="1"/>
        </w:numPr>
        <w:pBdr>
          <w:top w:space="0" w:sz="0" w:val="nil"/>
          <w:left w:space="0" w:sz="0" w:val="nil"/>
          <w:bottom w:space="0" w:sz="0" w:val="nil"/>
          <w:right w:space="0" w:sz="0" w:val="nil"/>
          <w:between w:space="0" w:sz="0" w:val="nil"/>
        </w:pBdr>
        <w:shd w:fill="d9d9d9" w:val="clear"/>
        <w:spacing w:after="240" w:before="120" w:line="36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Parte generale ( vedi PTCPT 2023/2025)</w:t>
      </w:r>
    </w:p>
    <w:p w:rsidR="00000000" w:rsidDel="00000000" w:rsidP="00000000" w:rsidRDefault="00000000" w:rsidRPr="00000000" w14:paraId="00000028">
      <w:pPr>
        <w:spacing w:after="0" w:before="120" w:line="240" w:lineRule="auto"/>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29">
      <w:pPr>
        <w:keepNext w:val="1"/>
        <w:widowControl w:val="0"/>
        <w:numPr>
          <w:ilvl w:val="0"/>
          <w:numId w:val="1"/>
        </w:numPr>
        <w:pBdr>
          <w:top w:space="0" w:sz="0" w:val="nil"/>
          <w:left w:space="0" w:sz="0" w:val="nil"/>
          <w:bottom w:space="0" w:sz="0" w:val="nil"/>
          <w:right w:space="0" w:sz="0" w:val="nil"/>
          <w:between w:space="0" w:sz="0" w:val="nil"/>
        </w:pBdr>
        <w:shd w:fill="d9d9d9" w:val="clear"/>
        <w:spacing w:after="240" w:before="120" w:line="36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L’analisi del contesto </w:t>
      </w:r>
    </w:p>
    <w:p w:rsidR="00000000" w:rsidDel="00000000" w:rsidP="00000000" w:rsidRDefault="00000000" w:rsidRPr="00000000" w14:paraId="0000002A">
      <w:pPr>
        <w:keepNext w:val="1"/>
        <w:widowControl w:val="0"/>
        <w:numPr>
          <w:ilvl w:val="1"/>
          <w:numId w:val="1"/>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L’analisi del contesto esterno</w:t>
      </w:r>
    </w:p>
    <w:p w:rsidR="00000000" w:rsidDel="00000000" w:rsidP="00000000" w:rsidRDefault="00000000" w:rsidRPr="00000000" w14:paraId="0000002B">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L’analisi del contesto esterno reca l’individuazione e la descrizione delle caratteristiche culturali, sociali ed economiche del territorio, ovvero del settore specifico di intervento e di come queste ultime – così come le relazioni esistenti con gli stakeholders – possano condizionare impropriamente l’attività dell’amministrazione. Da tale analisi deve emergere la valutazione di impatto del contesto esterno in termini di esposizione al rischio corruttivo.</w:t>
      </w:r>
    </w:p>
    <w:p w:rsidR="00000000" w:rsidDel="00000000" w:rsidP="00000000" w:rsidRDefault="00000000" w:rsidRPr="00000000" w14:paraId="0000002C">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 tenzioni geopolitiche hanno influito sulle condizioni finanziarie di tutti i Paesi dell’ UE : l’incidenza dei costi dell’energia sui costi di produzioni delle aziende è aumentata del 77% a parità delle voci di costo non energetiche ) Fonte: centro studi di Confindustria) e i rincari dei prezzi energetici (+52,9% annuo a marzo) comprimono il potere d’acquisto delle famiglie </w:t>
      </w:r>
    </w:p>
    <w:p w:rsidR="00000000" w:rsidDel="00000000" w:rsidP="00000000" w:rsidRDefault="00000000" w:rsidRPr="00000000" w14:paraId="0000002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dinamica negativa degli ordinativi è stata solo in parte mitigata dall’attuazione del PNRR che, sulla base del Sondaggio congiunturale sulle imprese industriali e dei servizi condotto nell’autunno 2023, ha comportato un aumento degli ordini per meno di un decimo delle aziende. (Cfr. “Economie regionali L’economia delle regioni italiane Dinamiche recenti e aspetti strutturali” pubblicazione della Banca d'Italia n. 22 di novembre 2023 - dati aggiornati al 26 ottobre 2023).</w:t>
      </w:r>
    </w:p>
    <w:p w:rsidR="00000000" w:rsidDel="00000000" w:rsidP="00000000" w:rsidRDefault="00000000" w:rsidRPr="00000000" w14:paraId="0000002E">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questo contesto, a fine novembre 2023, il numero delle aziende attive in Lombardia, rispetto allo stesso periodo dell’anno precedente, è rimasto sostanzialmente invariato, con un leggero calo (- 0,83) nella provincia di Cremona. </w:t>
      </w:r>
    </w:p>
    <w:p w:rsidR="00000000" w:rsidDel="00000000" w:rsidP="00000000" w:rsidRDefault="00000000" w:rsidRPr="00000000" w14:paraId="0000002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dinamica di questi investimenti delle Amministrazioni locali è destinata a evolversi in senso positivo per effetto degli interventi finanziati con il PNRR, nei primi otto mesi dell’anno 2023 gli investimenti sono risultati in forte espansione in ogni ripartizione.</w:t>
      </w:r>
    </w:p>
    <w:p w:rsidR="00000000" w:rsidDel="00000000" w:rsidP="00000000" w:rsidRDefault="00000000" w:rsidRPr="00000000" w14:paraId="0000003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Secondo i dati dell’Autorità Nazionale Anticorruzione (ANAC), fra gennaio del 2021 e giugno del 2023, l’importo delle gare pubblicate relative ai progetti finanziati dal PNRR ammontava a 46,3 miliardi (il 44% delle risorse assegnate la cui spesa richiede un bando pubblico).</w:t>
      </w:r>
    </w:p>
    <w:p w:rsidR="00000000" w:rsidDel="00000000" w:rsidP="00000000" w:rsidRDefault="00000000" w:rsidRPr="00000000" w14:paraId="0000003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 percezione della corruzione</w:t>
      </w:r>
    </w:p>
    <w:p w:rsidR="00000000" w:rsidDel="00000000" w:rsidP="00000000" w:rsidRDefault="00000000" w:rsidRPr="00000000" w14:paraId="0000003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Conoscere la dimensione quantitativa e qualitativa del fenomeno corruttivo permette di  orientare con efficacia ed efficienza l'attività di prevenzione.</w:t>
      </w:r>
    </w:p>
    <w:p w:rsidR="00000000" w:rsidDel="00000000" w:rsidP="00000000" w:rsidRDefault="00000000" w:rsidRPr="00000000" w14:paraId="0000003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modalità di misurazione più diffusa è basata su indicatori soggettivi. Il più noto fra questi indicatori è il Corruption perception index proposto da Transparency international.</w:t>
      </w:r>
    </w:p>
    <w:p w:rsidR="00000000" w:rsidDel="00000000" w:rsidP="00000000" w:rsidRDefault="00000000" w:rsidRPr="00000000" w14:paraId="0000003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L’indice di Percezione della Corruzione (CPI) di Transparency International classifica i Paesi in base al livello di corruzione percepita nel settore pubblico. In Base a tale indice negli ultimi anni l’Italia è migliorata nella classifica di Transparency International. </w:t>
      </w:r>
    </w:p>
    <w:p w:rsidR="00000000" w:rsidDel="00000000" w:rsidP="00000000" w:rsidRDefault="00000000" w:rsidRPr="00000000" w14:paraId="0000003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Negli ultimi cinque anni – dal 2017 al 2021 – si registra un tendenziale calo delle denunce, relativamente al territorio lombardo, in capo alla totalità delle fattispecie di delitto considerate (seppur si registri un incremento nel 2019, prima dell’evento pandemico).</w:t>
      </w:r>
    </w:p>
    <w:p w:rsidR="00000000" w:rsidDel="00000000" w:rsidP="00000000" w:rsidRDefault="00000000" w:rsidRPr="00000000" w14:paraId="00000037">
      <w:pPr>
        <w:spacing w:after="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L’analisi del contesto interno</w:t>
      </w:r>
    </w:p>
    <w:p w:rsidR="00000000" w:rsidDel="00000000" w:rsidP="00000000" w:rsidRDefault="00000000" w:rsidRPr="00000000" w14:paraId="00000039">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L’analisi del contesto interno riguarda, da una parte, la struttura organizzativa e, dall’altra parte, la mappatura dei processi, che rappresenta l’aspetto centrale e più importante finalizzato ad una corretta valutazione del rischio.</w:t>
      </w:r>
    </w:p>
    <w:p w:rsidR="00000000" w:rsidDel="00000000" w:rsidP="00000000" w:rsidRDefault="00000000" w:rsidRPr="00000000" w14:paraId="0000003A">
      <w:pPr>
        <w:spacing w:after="0" w:before="120" w:line="240" w:lineRule="auto"/>
        <w:jc w:val="both"/>
        <w:rPr>
          <w:rFonts w:ascii="Arial" w:cs="Arial" w:eastAsia="Arial" w:hAnsi="Arial"/>
          <w:b w:val="1"/>
          <w:color w:val="002060"/>
          <w:sz w:val="24"/>
          <w:szCs w:val="24"/>
        </w:rPr>
      </w:pPr>
      <w:r w:rsidDel="00000000" w:rsidR="00000000" w:rsidRPr="00000000">
        <w:rPr>
          <w:rtl w:val="0"/>
        </w:rPr>
      </w:r>
    </w:p>
    <w:p w:rsidR="00000000" w:rsidDel="00000000" w:rsidP="00000000" w:rsidRDefault="00000000" w:rsidRPr="00000000" w14:paraId="0000003B">
      <w:pPr>
        <w:keepNext w:val="1"/>
        <w:widowControl w:val="0"/>
        <w:numPr>
          <w:ilvl w:val="2"/>
          <w:numId w:val="1"/>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La struttura organizzativa</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struttura organizzativa viene analizzata e descritta nella parte del PIAO dedicata all’organizzazione / alla performance. Si rinvia a tale sezione.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3E">
      <w:pPr>
        <w:keepNext w:val="1"/>
        <w:widowControl w:val="0"/>
        <w:numPr>
          <w:ilvl w:val="2"/>
          <w:numId w:val="1"/>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La valutazione di impatto del contesto interno ed esterno </w:t>
      </w:r>
    </w:p>
    <w:p w:rsidR="00000000" w:rsidDel="00000000" w:rsidP="00000000" w:rsidRDefault="00000000" w:rsidRPr="00000000" w14:paraId="0000003F">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Dai risultati dell’analisi del contesto, sia esterno che interno, è possibile sviluppare le considerazioni seguenti in merito alle misure di prevenzione e contrasto della corruzione.</w:t>
      </w:r>
    </w:p>
    <w:p w:rsidR="00000000" w:rsidDel="00000000" w:rsidP="00000000" w:rsidRDefault="00000000" w:rsidRPr="00000000" w14:paraId="00000040">
      <w:pPr>
        <w:keepNext w:val="1"/>
        <w:widowControl w:val="0"/>
        <w:numPr>
          <w:ilvl w:val="1"/>
          <w:numId w:val="1"/>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La mappatura dei processi</w:t>
      </w:r>
    </w:p>
    <w:p w:rsidR="00000000" w:rsidDel="00000000" w:rsidP="00000000" w:rsidRDefault="00000000" w:rsidRPr="00000000" w14:paraId="00000041">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mappatura dei processi si articola in tre fasi: identificazione; descrizione; rappresentazione. </w:t>
      </w:r>
    </w:p>
    <w:p w:rsidR="00000000" w:rsidDel="00000000" w:rsidP="00000000" w:rsidRDefault="00000000" w:rsidRPr="00000000" w14:paraId="00000042">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L’identificazione consiste nello stabilire l’unità di analisi (il processo), nell’identificare l’elenco completo dei processi svolti dall’organizzazione che, nelle fasi successive, dovranno essere esaminati e descritti. In questa fase l’obiettivo è definire la lista dei processi che dovranno essere oggetto di analisi e approfondimento. </w:t>
      </w:r>
    </w:p>
    <w:p w:rsidR="00000000" w:rsidDel="00000000" w:rsidP="00000000" w:rsidRDefault="00000000" w:rsidRPr="00000000" w14:paraId="00000043">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risultato della prima fase è l’</w:t>
      </w:r>
      <w:r w:rsidDel="00000000" w:rsidR="00000000" w:rsidRPr="00000000">
        <w:rPr>
          <w:rFonts w:ascii="Arial" w:cs="Arial" w:eastAsia="Arial" w:hAnsi="Arial"/>
          <w:b w:val="1"/>
          <w:sz w:val="24"/>
          <w:szCs w:val="24"/>
          <w:rtl w:val="0"/>
        </w:rPr>
        <w:t xml:space="preserve">identificazione</w:t>
      </w:r>
      <w:r w:rsidDel="00000000" w:rsidR="00000000" w:rsidRPr="00000000">
        <w:rPr>
          <w:rFonts w:ascii="Arial" w:cs="Arial" w:eastAsia="Arial" w:hAnsi="Arial"/>
          <w:sz w:val="24"/>
          <w:szCs w:val="24"/>
          <w:rtl w:val="0"/>
        </w:rPr>
        <w:t xml:space="preserve"> dell’elenco completo dei processi dall’amministrazione. I processi sono poi aggregati nelle cosiddette </w:t>
      </w:r>
      <w:r w:rsidDel="00000000" w:rsidR="00000000" w:rsidRPr="00000000">
        <w:rPr>
          <w:rFonts w:ascii="Arial" w:cs="Arial" w:eastAsia="Arial" w:hAnsi="Arial"/>
          <w:b w:val="1"/>
          <w:sz w:val="24"/>
          <w:szCs w:val="24"/>
          <w:rtl w:val="0"/>
        </w:rPr>
        <w:t xml:space="preserve">aree di rischio</w:t>
      </w:r>
      <w:r w:rsidDel="00000000" w:rsidR="00000000" w:rsidRPr="00000000">
        <w:rPr>
          <w:rFonts w:ascii="Arial" w:cs="Arial" w:eastAsia="Arial" w:hAnsi="Arial"/>
          <w:sz w:val="24"/>
          <w:szCs w:val="24"/>
          <w:rtl w:val="0"/>
        </w:rPr>
        <w:t xml:space="preserve">, intese come raggruppamenti omogenei di processi. Le aree di rischio possono essere distinte in generali e specifiche: </w:t>
      </w:r>
    </w:p>
    <w:p w:rsidR="00000000" w:rsidDel="00000000" w:rsidP="00000000" w:rsidRDefault="00000000" w:rsidRPr="00000000" w14:paraId="00000044">
      <w:pPr>
        <w:numPr>
          <w:ilvl w:val="0"/>
          <w:numId w:val="11"/>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quelle </w:t>
      </w:r>
      <w:r w:rsidDel="00000000" w:rsidR="00000000" w:rsidRPr="00000000">
        <w:rPr>
          <w:rFonts w:ascii="Arial" w:cs="Arial" w:eastAsia="Arial" w:hAnsi="Arial"/>
          <w:b w:val="1"/>
          <w:color w:val="000000"/>
          <w:sz w:val="24"/>
          <w:szCs w:val="24"/>
          <w:rtl w:val="0"/>
        </w:rPr>
        <w:t xml:space="preserve">generali</w:t>
      </w:r>
      <w:r w:rsidDel="00000000" w:rsidR="00000000" w:rsidRPr="00000000">
        <w:rPr>
          <w:rFonts w:ascii="Arial" w:cs="Arial" w:eastAsia="Arial" w:hAnsi="Arial"/>
          <w:color w:val="000000"/>
          <w:sz w:val="24"/>
          <w:szCs w:val="24"/>
          <w:rtl w:val="0"/>
        </w:rPr>
        <w:t xml:space="preserve"> sono comuni a tutte le amministrazioni (es. contratti pubblici, acquisizione e gestione del personale); </w:t>
      </w:r>
    </w:p>
    <w:p w:rsidR="00000000" w:rsidDel="00000000" w:rsidP="00000000" w:rsidRDefault="00000000" w:rsidRPr="00000000" w14:paraId="00000045">
      <w:pPr>
        <w:numPr>
          <w:ilvl w:val="0"/>
          <w:numId w:val="11"/>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quelle </w:t>
      </w:r>
      <w:r w:rsidDel="00000000" w:rsidR="00000000" w:rsidRPr="00000000">
        <w:rPr>
          <w:rFonts w:ascii="Arial" w:cs="Arial" w:eastAsia="Arial" w:hAnsi="Arial"/>
          <w:b w:val="1"/>
          <w:color w:val="000000"/>
          <w:sz w:val="24"/>
          <w:szCs w:val="24"/>
          <w:rtl w:val="0"/>
        </w:rPr>
        <w:t xml:space="preserve">specifiche</w:t>
      </w:r>
      <w:r w:rsidDel="00000000" w:rsidR="00000000" w:rsidRPr="00000000">
        <w:rPr>
          <w:rFonts w:ascii="Arial" w:cs="Arial" w:eastAsia="Arial" w:hAnsi="Arial"/>
          <w:color w:val="000000"/>
          <w:sz w:val="24"/>
          <w:szCs w:val="24"/>
          <w:rtl w:val="0"/>
        </w:rPr>
        <w:t xml:space="preserve"> riguardano la singola amministrazione e dipendono dalle caratteristiche peculiari delle attività da essa svolte.</w:t>
      </w:r>
    </w:p>
    <w:p w:rsidR="00000000" w:rsidDel="00000000" w:rsidP="00000000" w:rsidRDefault="00000000" w:rsidRPr="00000000" w14:paraId="00000046">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PNA 2019, Allegato n. 1, ha individuato le seguenti “Aree di rischio” per gli enti locali: </w:t>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acquisizione e gestione del personale;</w:t>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affari legali e contenzioso;</w:t>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contratti pubblici;</w:t>
      </w:r>
    </w:p>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controlli, verifiche, ispezioni e sanzioni;</w:t>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gestione dei rifiuti;</w:t>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gestione delle entrate, delle spese e del patrimonio;</w:t>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governo del territorio;</w:t>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incarichi e nomine;</w:t>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pianificazione urbanistica;</w:t>
      </w:r>
    </w:p>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provvedimenti ampliativi della sfera giuridica dei destinatari con effetto economico diretto e immediato;</w:t>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provvedimenti ampliativi della sfera giuridica dei destinatari privi di effetto economico diretto e immediato. </w:t>
      </w:r>
    </w:p>
    <w:p w:rsidR="00000000" w:rsidDel="00000000" w:rsidP="00000000" w:rsidRDefault="00000000" w:rsidRPr="00000000" w14:paraId="00000052">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Oltre alle suddette undici “Aree di rischio”, si prevede l’area definita “</w:t>
      </w:r>
      <w:r w:rsidDel="00000000" w:rsidR="00000000" w:rsidRPr="00000000">
        <w:rPr>
          <w:rFonts w:ascii="Arial" w:cs="Arial" w:eastAsia="Arial" w:hAnsi="Arial"/>
          <w:b w:val="1"/>
          <w:sz w:val="24"/>
          <w:szCs w:val="24"/>
          <w:u w:val="single"/>
          <w:rtl w:val="0"/>
        </w:rPr>
        <w:t xml:space="preserve">Altri servizi</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3">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Tale sottoinsieme riunisce processi tipici degli enti territoriali, in genere privi di rilevanza economica e difficilmente riconducibili ad una delle aree proposte dal PNA. Ci si riferisce, ad esempio, ai processi relativi a: gestione del protocollo, funzionamento degli organi collegiali, istruttoria delle deliberazioni, ecc. </w:t>
      </w:r>
    </w:p>
    <w:p w:rsidR="00000000" w:rsidDel="00000000" w:rsidP="00000000" w:rsidRDefault="00000000" w:rsidRPr="00000000" w14:paraId="00000054">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 la mappatura è fondamentale il coinvolgimento dei responsabili delle strutture organizzative principali. </w:t>
      </w:r>
    </w:p>
    <w:p w:rsidR="00000000" w:rsidDel="00000000" w:rsidP="00000000" w:rsidRDefault="00000000" w:rsidRPr="00000000" w14:paraId="00000055">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L’RPCT ha enucleato i processi elencati nelle schede allegate, denominate “</w:t>
      </w:r>
      <w:r w:rsidDel="00000000" w:rsidR="00000000" w:rsidRPr="00000000">
        <w:rPr>
          <w:rFonts w:ascii="Arial" w:cs="Arial" w:eastAsia="Arial" w:hAnsi="Arial"/>
          <w:b w:val="1"/>
          <w:sz w:val="24"/>
          <w:szCs w:val="24"/>
          <w:rtl w:val="0"/>
        </w:rPr>
        <w:t xml:space="preserve">Mappatura dei processi a catalogo dei rischi</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u w:val="single"/>
          <w:rtl w:val="0"/>
        </w:rPr>
        <w:t xml:space="preserve">Allegato 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6">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Tali processi, poi, sempre secondo gli indirizzi espressi dal PNA, sono stati brevemente descritti (mediante l’indicazione dell’input, delle attività costitutive il processo, e dell’output finale) e, infine, è stata registrata l’unità organizzativa responsabile del processo stesso.  </w:t>
      </w:r>
    </w:p>
    <w:p w:rsidR="00000000" w:rsidDel="00000000" w:rsidP="00000000" w:rsidRDefault="00000000" w:rsidRPr="00000000" w14:paraId="00000057">
      <w:pPr>
        <w:spacing w:after="0" w:before="120" w:line="240" w:lineRule="auto"/>
        <w:rPr>
          <w:rFonts w:ascii="Arial" w:cs="Arial" w:eastAsia="Arial" w:hAnsi="Arial"/>
          <w:color w:val="ff0000"/>
          <w:sz w:val="24"/>
          <w:szCs w:val="24"/>
        </w:rPr>
      </w:pPr>
      <w:bookmarkStart w:colFirst="0" w:colLast="0" w:name="_heading=h.3j2qqm3" w:id="0"/>
      <w:bookmarkEnd w:id="0"/>
      <w:r w:rsidDel="00000000" w:rsidR="00000000" w:rsidRPr="00000000">
        <w:rPr>
          <w:rtl w:val="0"/>
        </w:rPr>
      </w:r>
    </w:p>
    <w:p w:rsidR="00000000" w:rsidDel="00000000" w:rsidP="00000000" w:rsidRDefault="00000000" w:rsidRPr="00000000" w14:paraId="00000058">
      <w:pPr>
        <w:keepNext w:val="1"/>
        <w:widowControl w:val="0"/>
        <w:numPr>
          <w:ilvl w:val="0"/>
          <w:numId w:val="1"/>
        </w:numPr>
        <w:pBdr>
          <w:top w:space="0" w:sz="0" w:val="nil"/>
          <w:left w:space="0" w:sz="0" w:val="nil"/>
          <w:bottom w:space="0" w:sz="0" w:val="nil"/>
          <w:right w:space="0" w:sz="0" w:val="nil"/>
          <w:between w:space="0" w:sz="0" w:val="nil"/>
        </w:pBdr>
        <w:shd w:fill="d9d9d9" w:val="clear"/>
        <w:spacing w:after="240" w:before="120" w:line="36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Valutazione del rischio</w:t>
      </w:r>
    </w:p>
    <w:p w:rsidR="00000000" w:rsidDel="00000000" w:rsidP="00000000" w:rsidRDefault="00000000" w:rsidRPr="00000000" w14:paraId="00000059">
      <w:pPr>
        <w:spacing w:after="0" w:before="120" w:line="240" w:lineRule="auto"/>
        <w:jc w:val="both"/>
        <w:rPr>
          <w:rFonts w:ascii="Arial" w:cs="Arial" w:eastAsia="Arial" w:hAnsi="Arial"/>
          <w:sz w:val="24"/>
          <w:szCs w:val="24"/>
        </w:rPr>
      </w:pPr>
      <w:bookmarkStart w:colFirst="0" w:colLast="0" w:name="_heading=h.4i7ojhp" w:id="1"/>
      <w:bookmarkEnd w:id="1"/>
      <w:r w:rsidDel="00000000" w:rsidR="00000000" w:rsidRPr="00000000">
        <w:rPr>
          <w:rFonts w:ascii="Arial" w:cs="Arial" w:eastAsia="Arial" w:hAnsi="Arial"/>
          <w:sz w:val="24"/>
          <w:szCs w:val="24"/>
          <w:rtl w:val="0"/>
        </w:rPr>
        <w:t xml:space="preserve">La valutazione del rischio è la macro-fase del processo di gestione in cui il rischio stesso è identificato, analizzato e confrontato con altri rischi, al fine di individuare le priorità di intervento e le possibili misure organizzative correttive e preventive (trattamento del rischio). Si articola in tre fasi: identificazione, analisi e ponderazione del rischio. </w:t>
      </w:r>
    </w:p>
    <w:p w:rsidR="00000000" w:rsidDel="00000000" w:rsidP="00000000" w:rsidRDefault="00000000" w:rsidRPr="00000000" w14:paraId="0000005A">
      <w:pPr>
        <w:spacing w:after="0" w:before="120" w:line="240" w:lineRule="auto"/>
        <w:jc w:val="both"/>
        <w:rPr>
          <w:rFonts w:ascii="Arial" w:cs="Arial" w:eastAsia="Arial" w:hAnsi="Arial"/>
          <w:color w:val="002060"/>
          <w:sz w:val="24"/>
          <w:szCs w:val="24"/>
        </w:rPr>
      </w:pPr>
      <w:r w:rsidDel="00000000" w:rsidR="00000000" w:rsidRPr="00000000">
        <w:rPr>
          <w:rtl w:val="0"/>
        </w:rPr>
      </w:r>
    </w:p>
    <w:p w:rsidR="00000000" w:rsidDel="00000000" w:rsidP="00000000" w:rsidRDefault="00000000" w:rsidRPr="00000000" w14:paraId="0000005B">
      <w:pPr>
        <w:keepNext w:val="1"/>
        <w:widowControl w:val="0"/>
        <w:numPr>
          <w:ilvl w:val="1"/>
          <w:numId w:val="6"/>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Identificazione del rischio</w:t>
      </w:r>
    </w:p>
    <w:p w:rsidR="00000000" w:rsidDel="00000000" w:rsidP="00000000" w:rsidRDefault="00000000" w:rsidRPr="00000000" w14:paraId="0000005C">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L’identificazione del rischio ha l’obiettivo di individuare comportamenti o fatti che possono verificarsi in relazione ai processi di pertinenza dell’amministrazione, tramite i quali si concretizza il fenomeno corruttivo.  </w:t>
      </w:r>
    </w:p>
    <w:p w:rsidR="00000000" w:rsidDel="00000000" w:rsidP="00000000" w:rsidRDefault="00000000" w:rsidRPr="00000000" w14:paraId="0000005D">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 individuare gli eventi rischiosi è necessario: definire l’oggetto di analisi; utilizzare tecniche di identificazione e una pluralità di fonti informative; individuare i rischi.</w:t>
      </w:r>
    </w:p>
    <w:p w:rsidR="00000000" w:rsidDel="00000000" w:rsidP="00000000" w:rsidRDefault="00000000" w:rsidRPr="00000000" w14:paraId="0000005E">
      <w:pPr>
        <w:spacing w:after="0" w:before="120" w:line="240" w:lineRule="auto"/>
        <w:jc w:val="both"/>
        <w:rPr>
          <w:rFonts w:ascii="Arial" w:cs="Arial" w:eastAsia="Arial" w:hAnsi="Arial"/>
          <w:b w:val="1"/>
          <w:color w:val="002060"/>
          <w:sz w:val="24"/>
          <w:szCs w:val="24"/>
        </w:rPr>
      </w:pPr>
      <w:r w:rsidDel="00000000" w:rsidR="00000000" w:rsidRPr="00000000">
        <w:rPr>
          <w:rtl w:val="0"/>
        </w:rPr>
      </w:r>
    </w:p>
    <w:p w:rsidR="00000000" w:rsidDel="00000000" w:rsidP="00000000" w:rsidRDefault="00000000" w:rsidRPr="00000000" w14:paraId="0000005F">
      <w:pPr>
        <w:spacing w:after="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 L’oggetto di analisi:</w:t>
      </w:r>
      <w:r w:rsidDel="00000000" w:rsidR="00000000" w:rsidRPr="00000000">
        <w:rPr>
          <w:rFonts w:ascii="Arial" w:cs="Arial" w:eastAsia="Arial" w:hAnsi="Arial"/>
          <w:sz w:val="24"/>
          <w:szCs w:val="24"/>
          <w:rtl w:val="0"/>
        </w:rPr>
        <w:t xml:space="preserve"> è l’unità di riferimento rispetto alla quale individuare gli eventi rischiosi. L’oggetto di analisi può essere: l’intero processo, le singole attività che compongono ciascun processo. </w:t>
      </w:r>
    </w:p>
    <w:p w:rsidR="00000000" w:rsidDel="00000000" w:rsidP="00000000" w:rsidRDefault="00000000" w:rsidRPr="00000000" w14:paraId="00000060">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L’RPCT ha svolto l’analisi per singoli “processi” (senza scomporre gli stessi in “attività”, fatta eccezione per i processi relativi agli affidamenti di lavori, servizi e forniture). </w:t>
      </w:r>
    </w:p>
    <w:p w:rsidR="00000000" w:rsidDel="00000000" w:rsidP="00000000" w:rsidRDefault="00000000" w:rsidRPr="00000000" w14:paraId="00000061">
      <w:pPr>
        <w:spacing w:after="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b) Tecniche e fonti informative</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per identificare gli eventi rischiosi è opportuno utilizzare una pluralità di tecniche e prendere in considerazione il più ampio numero possibile di fonti.  Le tecniche sono molteplici, quali: l’analisi di documenti e di banche dati, l’esame delle segnalazioni, le interviste e gli incontri con il personale, workshop e focus group, confronti con amministrazioni simili (benchmarking), analisi dei casi di corruzione, ecc.</w:t>
      </w:r>
    </w:p>
    <w:p w:rsidR="00000000" w:rsidDel="00000000" w:rsidP="00000000" w:rsidRDefault="00000000" w:rsidRPr="00000000" w14:paraId="00000062">
      <w:pPr>
        <w:spacing w:after="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 L’identificazione dei rischi:</w:t>
      </w:r>
      <w:r w:rsidDel="00000000" w:rsidR="00000000" w:rsidRPr="00000000">
        <w:rPr>
          <w:rFonts w:ascii="Arial" w:cs="Arial" w:eastAsia="Arial" w:hAnsi="Arial"/>
          <w:sz w:val="24"/>
          <w:szCs w:val="24"/>
          <w:rtl w:val="0"/>
        </w:rPr>
        <w:t xml:space="preserve"> gli eventi rischiosi individuati sono elencati e documentati.</w:t>
      </w:r>
    </w:p>
    <w:p w:rsidR="00000000" w:rsidDel="00000000" w:rsidP="00000000" w:rsidRDefault="00000000" w:rsidRPr="00000000" w14:paraId="00000063">
      <w:pPr>
        <w:spacing w:after="0" w:before="12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L’RPCT ha prodotto il </w:t>
      </w:r>
      <w:r w:rsidDel="00000000" w:rsidR="00000000" w:rsidRPr="00000000">
        <w:rPr>
          <w:rFonts w:ascii="Arial" w:cs="Arial" w:eastAsia="Arial" w:hAnsi="Arial"/>
          <w:b w:val="1"/>
          <w:sz w:val="24"/>
          <w:szCs w:val="24"/>
          <w:rtl w:val="0"/>
        </w:rPr>
        <w:t xml:space="preserve">Catalogo dei rischi principali. </w:t>
      </w:r>
    </w:p>
    <w:p w:rsidR="00000000" w:rsidDel="00000000" w:rsidP="00000000" w:rsidRDefault="00000000" w:rsidRPr="00000000" w14:paraId="00000064">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catalogo è riportato nelle schede allegate, denominate “</w:t>
      </w:r>
      <w:r w:rsidDel="00000000" w:rsidR="00000000" w:rsidRPr="00000000">
        <w:rPr>
          <w:rFonts w:ascii="Arial" w:cs="Arial" w:eastAsia="Arial" w:hAnsi="Arial"/>
          <w:b w:val="1"/>
          <w:sz w:val="24"/>
          <w:szCs w:val="24"/>
          <w:rtl w:val="0"/>
        </w:rPr>
        <w:t xml:space="preserve">Mappatura dei processi a catalogo dei rischi</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u w:val="single"/>
          <w:rtl w:val="0"/>
        </w:rPr>
        <w:t xml:space="preserve">Allegato 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5">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catalogo è riportato nella </w:t>
      </w:r>
      <w:r w:rsidDel="00000000" w:rsidR="00000000" w:rsidRPr="00000000">
        <w:rPr>
          <w:rFonts w:ascii="Arial" w:cs="Arial" w:eastAsia="Arial" w:hAnsi="Arial"/>
          <w:b w:val="1"/>
          <w:sz w:val="24"/>
          <w:szCs w:val="24"/>
          <w:u w:val="single"/>
          <w:rtl w:val="0"/>
        </w:rPr>
        <w:t xml:space="preserve">colonna G dell’Allegato A</w:t>
      </w:r>
      <w:r w:rsidDel="00000000" w:rsidR="00000000" w:rsidRPr="00000000">
        <w:rPr>
          <w:rFonts w:ascii="Arial" w:cs="Arial" w:eastAsia="Arial" w:hAnsi="Arial"/>
          <w:sz w:val="24"/>
          <w:szCs w:val="24"/>
          <w:rtl w:val="0"/>
        </w:rPr>
        <w:t xml:space="preserve">. Per ciascun processo è indicato il rischio principale che è stato individuato.   </w:t>
      </w:r>
    </w:p>
    <w:p w:rsidR="00000000" w:rsidDel="00000000" w:rsidP="00000000" w:rsidRDefault="00000000" w:rsidRPr="00000000" w14:paraId="00000066">
      <w:pPr>
        <w:spacing w:after="0" w:before="120" w:line="240" w:lineRule="auto"/>
        <w:jc w:val="both"/>
        <w:rPr>
          <w:rFonts w:ascii="Arial" w:cs="Arial" w:eastAsia="Arial" w:hAnsi="Arial"/>
          <w:color w:val="002060"/>
          <w:sz w:val="24"/>
          <w:szCs w:val="24"/>
        </w:rPr>
      </w:pPr>
      <w:r w:rsidDel="00000000" w:rsidR="00000000" w:rsidRPr="00000000">
        <w:rPr>
          <w:rtl w:val="0"/>
        </w:rPr>
      </w:r>
    </w:p>
    <w:p w:rsidR="00000000" w:rsidDel="00000000" w:rsidP="00000000" w:rsidRDefault="00000000" w:rsidRPr="00000000" w14:paraId="00000067">
      <w:pPr>
        <w:keepNext w:val="1"/>
        <w:widowControl w:val="0"/>
        <w:numPr>
          <w:ilvl w:val="1"/>
          <w:numId w:val="6"/>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Analisi del rischio</w:t>
      </w:r>
    </w:p>
    <w:p w:rsidR="00000000" w:rsidDel="00000000" w:rsidP="00000000" w:rsidRDefault="00000000" w:rsidRPr="00000000" w14:paraId="00000068">
      <w:pPr>
        <w:spacing w:after="0" w:before="120" w:line="240" w:lineRule="auto"/>
        <w:jc w:val="both"/>
        <w:rPr>
          <w:rFonts w:ascii="Arial" w:cs="Arial" w:eastAsia="Arial" w:hAnsi="Arial"/>
          <w:sz w:val="24"/>
          <w:szCs w:val="24"/>
        </w:rPr>
      </w:pPr>
      <w:bookmarkStart w:colFirst="0" w:colLast="0" w:name="_heading=h.3whwml4" w:id="2"/>
      <w:bookmarkEnd w:id="2"/>
      <w:r w:rsidDel="00000000" w:rsidR="00000000" w:rsidRPr="00000000">
        <w:rPr>
          <w:rFonts w:ascii="Arial" w:cs="Arial" w:eastAsia="Arial" w:hAnsi="Arial"/>
          <w:sz w:val="24"/>
          <w:szCs w:val="24"/>
          <w:rtl w:val="0"/>
        </w:rPr>
        <w:t xml:space="preserve">L’analisi ha il duplice obiettivo di pervenire ad una comprensione più approfondita degli eventi rischiosi identificati nella fase precedente, attraverso l’analisi dei cosiddetti fattori abilitanti della corruzione, e, dall’altro lato, di stimare il livello di esposizione dei processi e delle relative attività al rischio. </w:t>
      </w:r>
    </w:p>
    <w:p w:rsidR="00000000" w:rsidDel="00000000" w:rsidP="00000000" w:rsidRDefault="00000000" w:rsidRPr="00000000" w14:paraId="00000069">
      <w:pPr>
        <w:keepNext w:val="1"/>
        <w:widowControl w:val="0"/>
        <w:numPr>
          <w:ilvl w:val="2"/>
          <w:numId w:val="6"/>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 criteri di valutazione</w:t>
      </w:r>
    </w:p>
    <w:p w:rsidR="00000000" w:rsidDel="00000000" w:rsidP="00000000" w:rsidRDefault="00000000" w:rsidRPr="00000000" w14:paraId="0000006A">
      <w:pPr>
        <w:spacing w:after="0" w:before="12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Per stimare il rischio è necessario definire preliminarmente indicatori del livello di esposizione al rischio di corruzione.  </w:t>
      </w:r>
      <w:r w:rsidDel="00000000" w:rsidR="00000000" w:rsidRPr="00000000">
        <w:rPr>
          <w:rtl w:val="0"/>
        </w:rPr>
      </w:r>
    </w:p>
    <w:p w:rsidR="00000000" w:rsidDel="00000000" w:rsidP="00000000" w:rsidRDefault="00000000" w:rsidRPr="00000000" w14:paraId="0000006B">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L’ANAC ha proposto indicatori comunemente accettati, ampliabili o modificabili (PNA 2019, Allegato n. 1). Gli indicatori sono: </w:t>
      </w:r>
    </w:p>
    <w:p w:rsidR="00000000" w:rsidDel="00000000" w:rsidP="00000000" w:rsidRDefault="00000000" w:rsidRPr="00000000" w14:paraId="0000006C">
      <w:pPr>
        <w:spacing w:after="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livello di interesse esterno</w:t>
      </w:r>
      <w:r w:rsidDel="00000000" w:rsidR="00000000" w:rsidRPr="00000000">
        <w:rPr>
          <w:rFonts w:ascii="Arial" w:cs="Arial" w:eastAsia="Arial" w:hAnsi="Arial"/>
          <w:sz w:val="24"/>
          <w:szCs w:val="24"/>
          <w:rtl w:val="0"/>
        </w:rPr>
        <w:t xml:space="preserve">: la presenza di interessi rilevanti, economici o meno, e di benefici per i destinatari determina un incremento del rischio; </w:t>
      </w:r>
    </w:p>
    <w:p w:rsidR="00000000" w:rsidDel="00000000" w:rsidP="00000000" w:rsidRDefault="00000000" w:rsidRPr="00000000" w14:paraId="0000006D">
      <w:pPr>
        <w:spacing w:after="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di discrezionalità del decisore interno</w:t>
      </w:r>
      <w:r w:rsidDel="00000000" w:rsidR="00000000" w:rsidRPr="00000000">
        <w:rPr>
          <w:rFonts w:ascii="Arial" w:cs="Arial" w:eastAsia="Arial" w:hAnsi="Arial"/>
          <w:sz w:val="24"/>
          <w:szCs w:val="24"/>
          <w:rtl w:val="0"/>
        </w:rPr>
        <w:t xml:space="preserve">: un processo decisionale altamente discrezionale si caratterizza per un livello di rischio maggiore rispetto ad un processo decisionale altamente vincolato; </w:t>
      </w:r>
    </w:p>
    <w:p w:rsidR="00000000" w:rsidDel="00000000" w:rsidP="00000000" w:rsidRDefault="00000000" w:rsidRPr="00000000" w14:paraId="0000006E">
      <w:pPr>
        <w:spacing w:after="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manifestazione di eventi corruttivi in passato</w:t>
      </w:r>
      <w:r w:rsidDel="00000000" w:rsidR="00000000" w:rsidRPr="00000000">
        <w:rPr>
          <w:rFonts w:ascii="Arial" w:cs="Arial" w:eastAsia="Arial" w:hAnsi="Arial"/>
          <w:sz w:val="24"/>
          <w:szCs w:val="24"/>
          <w:rtl w:val="0"/>
        </w:rPr>
        <w:t xml:space="preserve">: se l’attività è stata già oggetto di eventi corruttivi nell’amministrazione o in altre realtà simili, il rischio aumenta poiché quella attività ha caratteristiche che rendono praticabile il malaffare; </w:t>
      </w:r>
    </w:p>
    <w:p w:rsidR="00000000" w:rsidDel="00000000" w:rsidP="00000000" w:rsidRDefault="00000000" w:rsidRPr="00000000" w14:paraId="0000006F">
      <w:pPr>
        <w:spacing w:after="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trasparenza/opacità del processo decisionale</w:t>
      </w:r>
      <w:r w:rsidDel="00000000" w:rsidR="00000000" w:rsidRPr="00000000">
        <w:rPr>
          <w:rFonts w:ascii="Arial" w:cs="Arial" w:eastAsia="Arial" w:hAnsi="Arial"/>
          <w:sz w:val="24"/>
          <w:szCs w:val="24"/>
          <w:rtl w:val="0"/>
        </w:rPr>
        <w:t xml:space="preserve">: l’adozione di strumenti di trasparenza sostanziale, e non solo formale, abbassa il rischio; </w:t>
      </w:r>
    </w:p>
    <w:p w:rsidR="00000000" w:rsidDel="00000000" w:rsidP="00000000" w:rsidRDefault="00000000" w:rsidRPr="00000000" w14:paraId="00000070">
      <w:pPr>
        <w:spacing w:after="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livello di collaborazione del responsabile del processo nell’elaborazione, aggiornamento e monitoraggio del piano</w:t>
      </w:r>
      <w:r w:rsidDel="00000000" w:rsidR="00000000" w:rsidRPr="00000000">
        <w:rPr>
          <w:rFonts w:ascii="Arial" w:cs="Arial" w:eastAsia="Arial" w:hAnsi="Arial"/>
          <w:sz w:val="24"/>
          <w:szCs w:val="24"/>
          <w:rtl w:val="0"/>
        </w:rPr>
        <w:t xml:space="preserve">: la scarsa collaborazione può segnalare un deficit di attenzione al tema della corruzione o, comunque, determinare una certa opacità sul reale livello di rischio; </w:t>
      </w:r>
    </w:p>
    <w:p w:rsidR="00000000" w:rsidDel="00000000" w:rsidP="00000000" w:rsidRDefault="00000000" w:rsidRPr="00000000" w14:paraId="00000071">
      <w:pPr>
        <w:spacing w:after="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di attuazione delle misure di trattamento</w:t>
      </w:r>
      <w:r w:rsidDel="00000000" w:rsidR="00000000" w:rsidRPr="00000000">
        <w:rPr>
          <w:rFonts w:ascii="Arial" w:cs="Arial" w:eastAsia="Arial" w:hAnsi="Arial"/>
          <w:sz w:val="24"/>
          <w:szCs w:val="24"/>
          <w:rtl w:val="0"/>
        </w:rPr>
        <w:t xml:space="preserve">: l’attuazione di misure di trattamento si associa ad una minore probabilità di fatti corruttivi.  </w:t>
      </w:r>
    </w:p>
    <w:p w:rsidR="00000000" w:rsidDel="00000000" w:rsidP="00000000" w:rsidRDefault="00000000" w:rsidRPr="00000000" w14:paraId="00000072">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Tutti gli indicatori suggeriti dall'ANAC sono stati utilizzati per valutare il rischio nel presente PTPCT. </w:t>
      </w:r>
    </w:p>
    <w:p w:rsidR="00000000" w:rsidDel="00000000" w:rsidP="00000000" w:rsidRDefault="00000000" w:rsidRPr="00000000" w14:paraId="00000073">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risultati dell'analisi sono stati riportati nelle schede allegate, denominate “</w:t>
      </w:r>
      <w:r w:rsidDel="00000000" w:rsidR="00000000" w:rsidRPr="00000000">
        <w:rPr>
          <w:rFonts w:ascii="Arial" w:cs="Arial" w:eastAsia="Arial" w:hAnsi="Arial"/>
          <w:b w:val="1"/>
          <w:sz w:val="24"/>
          <w:szCs w:val="24"/>
          <w:rtl w:val="0"/>
        </w:rPr>
        <w:t xml:space="preserve">Analisi dei rischi”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u w:val="single"/>
          <w:rtl w:val="0"/>
        </w:rPr>
        <w:t xml:space="preserve">Allegato B</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4">
      <w:pPr>
        <w:spacing w:after="0" w:before="120" w:line="240" w:lineRule="auto"/>
        <w:jc w:val="both"/>
        <w:rPr>
          <w:rFonts w:ascii="Arial" w:cs="Arial" w:eastAsia="Arial" w:hAnsi="Arial"/>
          <w:color w:val="002060"/>
          <w:sz w:val="24"/>
          <w:szCs w:val="24"/>
        </w:rPr>
      </w:pPr>
      <w:r w:rsidDel="00000000" w:rsidR="00000000" w:rsidRPr="00000000">
        <w:rPr>
          <w:rtl w:val="0"/>
        </w:rPr>
      </w:r>
    </w:p>
    <w:p w:rsidR="00000000" w:rsidDel="00000000" w:rsidP="00000000" w:rsidRDefault="00000000" w:rsidRPr="00000000" w14:paraId="00000075">
      <w:pPr>
        <w:keepNext w:val="1"/>
        <w:widowControl w:val="0"/>
        <w:numPr>
          <w:ilvl w:val="2"/>
          <w:numId w:val="6"/>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La rilevazione di dati e informazioni  </w:t>
      </w:r>
    </w:p>
    <w:p w:rsidR="00000000" w:rsidDel="00000000" w:rsidP="00000000" w:rsidRDefault="00000000" w:rsidRPr="00000000" w14:paraId="00000076">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rilevazione di dati e informazioni necessari ad esprimere un giudizio motivato sugli indicatori di rischio è stata coordinata dal RPCT. </w:t>
      </w:r>
    </w:p>
    <w:p w:rsidR="00000000" w:rsidDel="00000000" w:rsidP="00000000" w:rsidRDefault="00000000" w:rsidRPr="00000000" w14:paraId="00000077">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risultati dell'analisi sono stati riportati nelle schede allegate, denominate “</w:t>
      </w:r>
      <w:r w:rsidDel="00000000" w:rsidR="00000000" w:rsidRPr="00000000">
        <w:rPr>
          <w:rFonts w:ascii="Arial" w:cs="Arial" w:eastAsia="Arial" w:hAnsi="Arial"/>
          <w:b w:val="1"/>
          <w:sz w:val="24"/>
          <w:szCs w:val="24"/>
          <w:u w:val="single"/>
          <w:rtl w:val="0"/>
        </w:rPr>
        <w:t xml:space="preserve">Analisi dei rischi</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u w:val="single"/>
          <w:rtl w:val="0"/>
        </w:rPr>
        <w:t xml:space="preserve">Allegato B</w:t>
      </w:r>
      <w:r w:rsidDel="00000000" w:rsidR="00000000" w:rsidRPr="00000000">
        <w:rPr>
          <w:rFonts w:ascii="Arial" w:cs="Arial" w:eastAsia="Arial" w:hAnsi="Arial"/>
          <w:sz w:val="24"/>
          <w:szCs w:val="24"/>
          <w:rtl w:val="0"/>
        </w:rPr>
        <w:t xml:space="preserve">. Tutte le "valutazioni" sono supportate da chiare e sintetiche motivazioni, esposte nell'ultima colonna a destra ("</w:t>
      </w:r>
      <w:r w:rsidDel="00000000" w:rsidR="00000000" w:rsidRPr="00000000">
        <w:rPr>
          <w:rFonts w:ascii="Arial" w:cs="Arial" w:eastAsia="Arial" w:hAnsi="Arial"/>
          <w:b w:val="1"/>
          <w:sz w:val="24"/>
          <w:szCs w:val="24"/>
          <w:rtl w:val="0"/>
        </w:rPr>
        <w:t xml:space="preserve">Motivazione</w:t>
      </w:r>
      <w:r w:rsidDel="00000000" w:rsidR="00000000" w:rsidRPr="00000000">
        <w:rPr>
          <w:rFonts w:ascii="Arial" w:cs="Arial" w:eastAsia="Arial" w:hAnsi="Arial"/>
          <w:sz w:val="24"/>
          <w:szCs w:val="24"/>
          <w:rtl w:val="0"/>
        </w:rPr>
        <w:t xml:space="preserve">") nelle suddette schede (</w:t>
      </w:r>
      <w:r w:rsidDel="00000000" w:rsidR="00000000" w:rsidRPr="00000000">
        <w:rPr>
          <w:rFonts w:ascii="Arial" w:cs="Arial" w:eastAsia="Arial" w:hAnsi="Arial"/>
          <w:b w:val="1"/>
          <w:sz w:val="24"/>
          <w:szCs w:val="24"/>
          <w:u w:val="single"/>
          <w:rtl w:val="0"/>
        </w:rPr>
        <w:t xml:space="preserve">Allegato B</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8">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 valutazioni, per quanto possibile, sono sostenute dai "dati oggettivi" in possesso dell'ente.  </w:t>
      </w:r>
    </w:p>
    <w:p w:rsidR="00000000" w:rsidDel="00000000" w:rsidP="00000000" w:rsidRDefault="00000000" w:rsidRPr="00000000" w14:paraId="00000079">
      <w:pPr>
        <w:spacing w:after="0" w:before="120" w:line="240" w:lineRule="auto"/>
        <w:jc w:val="both"/>
        <w:rPr>
          <w:rFonts w:ascii="Arial" w:cs="Arial" w:eastAsia="Arial" w:hAnsi="Arial"/>
          <w:color w:val="002060"/>
          <w:sz w:val="24"/>
          <w:szCs w:val="24"/>
        </w:rPr>
      </w:pPr>
      <w:r w:rsidDel="00000000" w:rsidR="00000000" w:rsidRPr="00000000">
        <w:rPr>
          <w:rtl w:val="0"/>
        </w:rPr>
      </w:r>
    </w:p>
    <w:p w:rsidR="00000000" w:rsidDel="00000000" w:rsidP="00000000" w:rsidRDefault="00000000" w:rsidRPr="00000000" w14:paraId="0000007A">
      <w:pPr>
        <w:keepNext w:val="1"/>
        <w:widowControl w:val="0"/>
        <w:numPr>
          <w:ilvl w:val="2"/>
          <w:numId w:val="6"/>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formulazione di un giudizio motivato</w:t>
      </w:r>
    </w:p>
    <w:p w:rsidR="00000000" w:rsidDel="00000000" w:rsidP="00000000" w:rsidRDefault="00000000" w:rsidRPr="00000000" w14:paraId="0000007B">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questa fase si procede alla misurazione degli indicatori di rischio. L'ANAC sostiene che sarebbe opportuno privilegiare un’analisi di tipo </w:t>
      </w:r>
      <w:r w:rsidDel="00000000" w:rsidR="00000000" w:rsidRPr="00000000">
        <w:rPr>
          <w:rFonts w:ascii="Arial" w:cs="Arial" w:eastAsia="Arial" w:hAnsi="Arial"/>
          <w:i w:val="1"/>
          <w:sz w:val="24"/>
          <w:szCs w:val="24"/>
          <w:rtl w:val="0"/>
        </w:rPr>
        <w:t xml:space="preserve">qualitativo</w:t>
      </w:r>
      <w:r w:rsidDel="00000000" w:rsidR="00000000" w:rsidRPr="00000000">
        <w:rPr>
          <w:rFonts w:ascii="Arial" w:cs="Arial" w:eastAsia="Arial" w:hAnsi="Arial"/>
          <w:sz w:val="24"/>
          <w:szCs w:val="24"/>
          <w:rtl w:val="0"/>
        </w:rPr>
        <w:t xml:space="preserve">, accompagnata da adeguate documentazioni e motivazioni rispetto ad un’impostazione </w:t>
      </w:r>
      <w:r w:rsidDel="00000000" w:rsidR="00000000" w:rsidRPr="00000000">
        <w:rPr>
          <w:rFonts w:ascii="Arial" w:cs="Arial" w:eastAsia="Arial" w:hAnsi="Arial"/>
          <w:i w:val="1"/>
          <w:sz w:val="24"/>
          <w:szCs w:val="24"/>
          <w:rtl w:val="0"/>
        </w:rPr>
        <w:t xml:space="preserve">quantitativa</w:t>
      </w:r>
      <w:r w:rsidDel="00000000" w:rsidR="00000000" w:rsidRPr="00000000">
        <w:rPr>
          <w:rFonts w:ascii="Arial" w:cs="Arial" w:eastAsia="Arial" w:hAnsi="Arial"/>
          <w:sz w:val="24"/>
          <w:szCs w:val="24"/>
          <w:rtl w:val="0"/>
        </w:rPr>
        <w:t xml:space="preserve"> che prevede l’attribuzione di punteggi.  Se la misurazione degli indicatori di rischio viene svolta con metodologia "qualitativa" è possibile applicare una scala di valutazione di tipo ordinale: alto, medio, basso. Ogni misurazione deve essere adeguatamente motivata alla luce dei dati e delle evidenze raccolte. </w:t>
      </w:r>
    </w:p>
    <w:p w:rsidR="00000000" w:rsidDel="00000000" w:rsidP="00000000" w:rsidRDefault="00000000" w:rsidRPr="00000000" w14:paraId="0000007C">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L’ANAC raccomanda quanto segue: </w:t>
      </w:r>
    </w:p>
    <w:p w:rsidR="00000000" w:rsidDel="00000000" w:rsidP="00000000" w:rsidRDefault="00000000" w:rsidRPr="00000000" w14:paraId="0000007D">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qualora, per un dato processo, siano ipotizzabili più eventi rischiosi con un diverso livello di rischio, si raccomanda di far riferimento al valore più alto nello stimare l’esposizione complessiva del rischio; </w:t>
      </w:r>
    </w:p>
    <w:p w:rsidR="00000000" w:rsidDel="00000000" w:rsidP="00000000" w:rsidRDefault="00000000" w:rsidRPr="00000000" w14:paraId="0000007E">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evitare che la valutazione sia data dalla media dei singoli indicatori; è necessario far prevalere il giudizio qualitativo rispetto ad un mero calcolo matematico. </w:t>
      </w:r>
    </w:p>
    <w:p w:rsidR="00000000" w:rsidDel="00000000" w:rsidP="00000000" w:rsidRDefault="00000000" w:rsidRPr="00000000" w14:paraId="0000007F">
      <w:pPr>
        <w:spacing w:after="0" w:before="12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L'analisi è stata svolta con metodologia di tipo qualitativo ed è stata applicata una scala ordinale di maggior dettaglio rispetto a quella suggerita dal PNA (basso, medio, alto):</w:t>
      </w:r>
    </w:p>
    <w:p w:rsidR="00000000" w:rsidDel="00000000" w:rsidP="00000000" w:rsidRDefault="00000000" w:rsidRPr="00000000" w14:paraId="00000080">
      <w:pPr>
        <w:spacing w:after="0" w:before="120" w:line="240" w:lineRule="auto"/>
        <w:jc w:val="both"/>
        <w:rPr>
          <w:rFonts w:ascii="Arial" w:cs="Arial" w:eastAsia="Arial" w:hAnsi="Arial"/>
          <w:b w:val="1"/>
          <w:sz w:val="24"/>
          <w:szCs w:val="24"/>
        </w:rPr>
      </w:pPr>
      <w:r w:rsidDel="00000000" w:rsidR="00000000" w:rsidRPr="00000000">
        <w:rPr>
          <w:rtl w:val="0"/>
        </w:rPr>
      </w:r>
    </w:p>
    <w:tbl>
      <w:tblPr>
        <w:tblStyle w:val="Table1"/>
        <w:tblW w:w="8045.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5342"/>
        <w:gridCol w:w="2703"/>
        <w:tblGridChange w:id="0">
          <w:tblGrid>
            <w:gridCol w:w="5342"/>
            <w:gridCol w:w="2703"/>
          </w:tblGrid>
        </w:tblGridChange>
      </w:tblGrid>
      <w:tr>
        <w:trPr>
          <w:cantSplit w:val="0"/>
          <w:tblHeader w:val="0"/>
        </w:trPr>
        <w:tc>
          <w:tcPr/>
          <w:p w:rsidR="00000000" w:rsidDel="00000000" w:rsidP="00000000" w:rsidRDefault="00000000" w:rsidRPr="00000000" w14:paraId="00000081">
            <w:pPr>
              <w:spacing w:after="0" w:before="12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Livello di rischio</w:t>
            </w:r>
          </w:p>
        </w:tc>
        <w:tc>
          <w:tcPr/>
          <w:p w:rsidR="00000000" w:rsidDel="00000000" w:rsidP="00000000" w:rsidRDefault="00000000" w:rsidRPr="00000000" w14:paraId="00000082">
            <w:pPr>
              <w:spacing w:after="0" w:before="120" w:line="240" w:lineRule="auto"/>
              <w:jc w:val="cente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3">
            <w:pPr>
              <w:spacing w:after="0" w:before="120" w:line="240" w:lineRule="auto"/>
              <w:jc w:val="both"/>
              <w:rPr>
                <w:rFonts w:ascii="Arial" w:cs="Arial" w:eastAsia="Arial" w:hAnsi="Arial"/>
                <w:i w:val="1"/>
                <w:sz w:val="24"/>
                <w:szCs w:val="24"/>
              </w:rPr>
            </w:pPr>
            <w:r w:rsidDel="00000000" w:rsidR="00000000" w:rsidRPr="00000000">
              <w:rPr>
                <w:rFonts w:ascii="Arial" w:cs="Arial" w:eastAsia="Arial" w:hAnsi="Arial"/>
                <w:b w:val="0"/>
                <w:i w:val="1"/>
                <w:sz w:val="24"/>
                <w:szCs w:val="24"/>
                <w:rtl w:val="0"/>
              </w:rPr>
              <w:t xml:space="preserve">Rischio quasi nullo</w:t>
            </w:r>
            <w:r w:rsidDel="00000000" w:rsidR="00000000" w:rsidRPr="00000000">
              <w:rPr>
                <w:rtl w:val="0"/>
              </w:rPr>
            </w:r>
          </w:p>
        </w:tc>
        <w:tc>
          <w:tcPr/>
          <w:p w:rsidR="00000000" w:rsidDel="00000000" w:rsidP="00000000" w:rsidRDefault="00000000" w:rsidRPr="00000000" w14:paraId="00000084">
            <w:pPr>
              <w:spacing w:after="0" w:before="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w:t>
            </w:r>
          </w:p>
        </w:tc>
      </w:tr>
      <w:tr>
        <w:trPr>
          <w:cantSplit w:val="0"/>
          <w:tblHeader w:val="0"/>
        </w:trPr>
        <w:tc>
          <w:tcPr/>
          <w:p w:rsidR="00000000" w:rsidDel="00000000" w:rsidP="00000000" w:rsidRDefault="00000000" w:rsidRPr="00000000" w14:paraId="00000085">
            <w:pPr>
              <w:spacing w:after="0" w:before="120" w:line="240" w:lineRule="auto"/>
              <w:jc w:val="both"/>
              <w:rPr>
                <w:rFonts w:ascii="Arial" w:cs="Arial" w:eastAsia="Arial" w:hAnsi="Arial"/>
                <w:i w:val="1"/>
                <w:sz w:val="24"/>
                <w:szCs w:val="24"/>
              </w:rPr>
            </w:pPr>
            <w:r w:rsidDel="00000000" w:rsidR="00000000" w:rsidRPr="00000000">
              <w:rPr>
                <w:rFonts w:ascii="Arial" w:cs="Arial" w:eastAsia="Arial" w:hAnsi="Arial"/>
                <w:b w:val="0"/>
                <w:i w:val="1"/>
                <w:sz w:val="24"/>
                <w:szCs w:val="24"/>
                <w:rtl w:val="0"/>
              </w:rPr>
              <w:t xml:space="preserve">Rischio molto basso</w:t>
            </w:r>
            <w:r w:rsidDel="00000000" w:rsidR="00000000" w:rsidRPr="00000000">
              <w:rPr>
                <w:rtl w:val="0"/>
              </w:rPr>
            </w:r>
          </w:p>
        </w:tc>
        <w:tc>
          <w:tcPr/>
          <w:p w:rsidR="00000000" w:rsidDel="00000000" w:rsidP="00000000" w:rsidRDefault="00000000" w:rsidRPr="00000000" w14:paraId="00000086">
            <w:pPr>
              <w:spacing w:after="0" w:before="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w:t>
            </w:r>
          </w:p>
        </w:tc>
      </w:tr>
      <w:tr>
        <w:trPr>
          <w:cantSplit w:val="0"/>
          <w:tblHeader w:val="0"/>
        </w:trPr>
        <w:tc>
          <w:tcPr/>
          <w:p w:rsidR="00000000" w:rsidDel="00000000" w:rsidP="00000000" w:rsidRDefault="00000000" w:rsidRPr="00000000" w14:paraId="00000087">
            <w:pPr>
              <w:spacing w:after="0" w:before="120" w:line="240" w:lineRule="auto"/>
              <w:jc w:val="both"/>
              <w:rPr>
                <w:rFonts w:ascii="Arial" w:cs="Arial" w:eastAsia="Arial" w:hAnsi="Arial"/>
                <w:i w:val="1"/>
                <w:sz w:val="24"/>
                <w:szCs w:val="24"/>
              </w:rPr>
            </w:pPr>
            <w:r w:rsidDel="00000000" w:rsidR="00000000" w:rsidRPr="00000000">
              <w:rPr>
                <w:rFonts w:ascii="Arial" w:cs="Arial" w:eastAsia="Arial" w:hAnsi="Arial"/>
                <w:b w:val="0"/>
                <w:i w:val="1"/>
                <w:sz w:val="24"/>
                <w:szCs w:val="24"/>
                <w:rtl w:val="0"/>
              </w:rPr>
              <w:t xml:space="preserve">Rischio basso</w:t>
            </w:r>
            <w:r w:rsidDel="00000000" w:rsidR="00000000" w:rsidRPr="00000000">
              <w:rPr>
                <w:rtl w:val="0"/>
              </w:rPr>
            </w:r>
          </w:p>
        </w:tc>
        <w:tc>
          <w:tcPr/>
          <w:p w:rsidR="00000000" w:rsidDel="00000000" w:rsidP="00000000" w:rsidRDefault="00000000" w:rsidRPr="00000000" w14:paraId="00000088">
            <w:pPr>
              <w:spacing w:after="0" w:before="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w:t>
            </w:r>
          </w:p>
        </w:tc>
      </w:tr>
      <w:tr>
        <w:trPr>
          <w:cantSplit w:val="0"/>
          <w:tblHeader w:val="0"/>
        </w:trPr>
        <w:tc>
          <w:tcPr/>
          <w:p w:rsidR="00000000" w:rsidDel="00000000" w:rsidP="00000000" w:rsidRDefault="00000000" w:rsidRPr="00000000" w14:paraId="00000089">
            <w:pPr>
              <w:spacing w:after="0" w:before="120" w:line="240" w:lineRule="auto"/>
              <w:jc w:val="both"/>
              <w:rPr>
                <w:rFonts w:ascii="Arial" w:cs="Arial" w:eastAsia="Arial" w:hAnsi="Arial"/>
                <w:i w:val="1"/>
                <w:sz w:val="24"/>
                <w:szCs w:val="24"/>
              </w:rPr>
            </w:pPr>
            <w:r w:rsidDel="00000000" w:rsidR="00000000" w:rsidRPr="00000000">
              <w:rPr>
                <w:rFonts w:ascii="Arial" w:cs="Arial" w:eastAsia="Arial" w:hAnsi="Arial"/>
                <w:b w:val="0"/>
                <w:i w:val="1"/>
                <w:sz w:val="24"/>
                <w:szCs w:val="24"/>
                <w:rtl w:val="0"/>
              </w:rPr>
              <w:t xml:space="preserve">Rischio moderato</w:t>
            </w:r>
            <w:r w:rsidDel="00000000" w:rsidR="00000000" w:rsidRPr="00000000">
              <w:rPr>
                <w:rtl w:val="0"/>
              </w:rPr>
            </w:r>
          </w:p>
        </w:tc>
        <w:tc>
          <w:tcPr/>
          <w:p w:rsidR="00000000" w:rsidDel="00000000" w:rsidP="00000000" w:rsidRDefault="00000000" w:rsidRPr="00000000" w14:paraId="0000008A">
            <w:pPr>
              <w:spacing w:after="0" w:before="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w:t>
            </w:r>
          </w:p>
        </w:tc>
      </w:tr>
      <w:tr>
        <w:trPr>
          <w:cantSplit w:val="0"/>
          <w:tblHeader w:val="0"/>
        </w:trPr>
        <w:tc>
          <w:tcPr/>
          <w:p w:rsidR="00000000" w:rsidDel="00000000" w:rsidP="00000000" w:rsidRDefault="00000000" w:rsidRPr="00000000" w14:paraId="0000008B">
            <w:pPr>
              <w:spacing w:after="0" w:before="120" w:line="240" w:lineRule="auto"/>
              <w:jc w:val="both"/>
              <w:rPr>
                <w:rFonts w:ascii="Arial" w:cs="Arial" w:eastAsia="Arial" w:hAnsi="Arial"/>
                <w:i w:val="1"/>
                <w:sz w:val="24"/>
                <w:szCs w:val="24"/>
              </w:rPr>
            </w:pPr>
            <w:r w:rsidDel="00000000" w:rsidR="00000000" w:rsidRPr="00000000">
              <w:rPr>
                <w:rFonts w:ascii="Arial" w:cs="Arial" w:eastAsia="Arial" w:hAnsi="Arial"/>
                <w:b w:val="0"/>
                <w:i w:val="1"/>
                <w:sz w:val="24"/>
                <w:szCs w:val="24"/>
                <w:rtl w:val="0"/>
              </w:rPr>
              <w:t xml:space="preserve">Rischio alto</w:t>
            </w:r>
            <w:r w:rsidDel="00000000" w:rsidR="00000000" w:rsidRPr="00000000">
              <w:rPr>
                <w:rtl w:val="0"/>
              </w:rPr>
            </w:r>
          </w:p>
        </w:tc>
        <w:tc>
          <w:tcPr/>
          <w:p w:rsidR="00000000" w:rsidDel="00000000" w:rsidP="00000000" w:rsidRDefault="00000000" w:rsidRPr="00000000" w14:paraId="0000008C">
            <w:pPr>
              <w:spacing w:after="0" w:before="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t>
            </w:r>
          </w:p>
        </w:tc>
      </w:tr>
      <w:tr>
        <w:trPr>
          <w:cantSplit w:val="0"/>
          <w:tblHeader w:val="0"/>
        </w:trPr>
        <w:tc>
          <w:tcPr/>
          <w:p w:rsidR="00000000" w:rsidDel="00000000" w:rsidP="00000000" w:rsidRDefault="00000000" w:rsidRPr="00000000" w14:paraId="0000008D">
            <w:pPr>
              <w:spacing w:after="0" w:before="120" w:line="240" w:lineRule="auto"/>
              <w:jc w:val="both"/>
              <w:rPr>
                <w:rFonts w:ascii="Arial" w:cs="Arial" w:eastAsia="Arial" w:hAnsi="Arial"/>
                <w:i w:val="1"/>
                <w:sz w:val="24"/>
                <w:szCs w:val="24"/>
              </w:rPr>
            </w:pPr>
            <w:r w:rsidDel="00000000" w:rsidR="00000000" w:rsidRPr="00000000">
              <w:rPr>
                <w:rFonts w:ascii="Arial" w:cs="Arial" w:eastAsia="Arial" w:hAnsi="Arial"/>
                <w:b w:val="0"/>
                <w:i w:val="1"/>
                <w:sz w:val="24"/>
                <w:szCs w:val="24"/>
                <w:rtl w:val="0"/>
              </w:rPr>
              <w:t xml:space="preserve">Rischio molto alto</w:t>
            </w:r>
            <w:r w:rsidDel="00000000" w:rsidR="00000000" w:rsidRPr="00000000">
              <w:rPr>
                <w:rtl w:val="0"/>
              </w:rPr>
            </w:r>
          </w:p>
        </w:tc>
        <w:tc>
          <w:tcPr/>
          <w:p w:rsidR="00000000" w:rsidDel="00000000" w:rsidP="00000000" w:rsidRDefault="00000000" w:rsidRPr="00000000" w14:paraId="0000008E">
            <w:pPr>
              <w:spacing w:after="0" w:before="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t>
            </w:r>
          </w:p>
        </w:tc>
      </w:tr>
      <w:tr>
        <w:trPr>
          <w:cantSplit w:val="0"/>
          <w:tblHeader w:val="0"/>
        </w:trPr>
        <w:tc>
          <w:tcPr/>
          <w:p w:rsidR="00000000" w:rsidDel="00000000" w:rsidP="00000000" w:rsidRDefault="00000000" w:rsidRPr="00000000" w14:paraId="0000008F">
            <w:pPr>
              <w:spacing w:after="0" w:before="120" w:line="240" w:lineRule="auto"/>
              <w:jc w:val="both"/>
              <w:rPr>
                <w:rFonts w:ascii="Arial" w:cs="Arial" w:eastAsia="Arial" w:hAnsi="Arial"/>
                <w:i w:val="1"/>
                <w:sz w:val="24"/>
                <w:szCs w:val="24"/>
              </w:rPr>
            </w:pPr>
            <w:r w:rsidDel="00000000" w:rsidR="00000000" w:rsidRPr="00000000">
              <w:rPr>
                <w:rFonts w:ascii="Arial" w:cs="Arial" w:eastAsia="Arial" w:hAnsi="Arial"/>
                <w:b w:val="0"/>
                <w:i w:val="1"/>
                <w:sz w:val="24"/>
                <w:szCs w:val="24"/>
                <w:rtl w:val="0"/>
              </w:rPr>
              <w:t xml:space="preserve">Rischio altissimo</w:t>
            </w:r>
            <w:r w:rsidDel="00000000" w:rsidR="00000000" w:rsidRPr="00000000">
              <w:rPr>
                <w:rtl w:val="0"/>
              </w:rPr>
            </w:r>
          </w:p>
        </w:tc>
        <w:tc>
          <w:tcPr/>
          <w:p w:rsidR="00000000" w:rsidDel="00000000" w:rsidP="00000000" w:rsidRDefault="00000000" w:rsidRPr="00000000" w14:paraId="00000090">
            <w:pPr>
              <w:spacing w:after="0" w:before="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t>
            </w:r>
          </w:p>
        </w:tc>
      </w:tr>
    </w:tbl>
    <w:p w:rsidR="00000000" w:rsidDel="00000000" w:rsidP="00000000" w:rsidRDefault="00000000" w:rsidRPr="00000000" w14:paraId="00000091">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risultati della misurazione sono riportati nelle schede allegate, denominate </w:t>
      </w:r>
      <w:r w:rsidDel="00000000" w:rsidR="00000000" w:rsidRPr="00000000">
        <w:rPr>
          <w:rFonts w:ascii="Arial" w:cs="Arial" w:eastAsia="Arial" w:hAnsi="Arial"/>
          <w:sz w:val="24"/>
          <w:szCs w:val="24"/>
          <w:u w:val="single"/>
          <w:rtl w:val="0"/>
        </w:rPr>
        <w:t xml:space="preserve">“</w:t>
      </w:r>
      <w:r w:rsidDel="00000000" w:rsidR="00000000" w:rsidRPr="00000000">
        <w:rPr>
          <w:rFonts w:ascii="Arial" w:cs="Arial" w:eastAsia="Arial" w:hAnsi="Arial"/>
          <w:b w:val="1"/>
          <w:sz w:val="24"/>
          <w:szCs w:val="24"/>
          <w:u w:val="single"/>
          <w:rtl w:val="0"/>
        </w:rPr>
        <w:t xml:space="preserve">Analisi dei rischi”, Allegato B</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2">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Nella colonna denominata "</w:t>
      </w:r>
      <w:r w:rsidDel="00000000" w:rsidR="00000000" w:rsidRPr="00000000">
        <w:rPr>
          <w:rFonts w:ascii="Arial" w:cs="Arial" w:eastAsia="Arial" w:hAnsi="Arial"/>
          <w:b w:val="1"/>
          <w:sz w:val="24"/>
          <w:szCs w:val="24"/>
          <w:rtl w:val="0"/>
        </w:rPr>
        <w:t xml:space="preserve">Valutazione complessiva</w:t>
      </w:r>
      <w:r w:rsidDel="00000000" w:rsidR="00000000" w:rsidRPr="00000000">
        <w:rPr>
          <w:rFonts w:ascii="Arial" w:cs="Arial" w:eastAsia="Arial" w:hAnsi="Arial"/>
          <w:sz w:val="24"/>
          <w:szCs w:val="24"/>
          <w:rtl w:val="0"/>
        </w:rPr>
        <w:t xml:space="preserve">" è indicata la misurazione di sintesi di ciascun oggetto di analisi. </w:t>
      </w:r>
    </w:p>
    <w:p w:rsidR="00000000" w:rsidDel="00000000" w:rsidP="00000000" w:rsidRDefault="00000000" w:rsidRPr="00000000" w14:paraId="00000093">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Tutte le valutazioni sono supportate da una chiara, seppur sintetica motivazione, esposta nell'ultima colonna a destra ("</w:t>
      </w:r>
      <w:r w:rsidDel="00000000" w:rsidR="00000000" w:rsidRPr="00000000">
        <w:rPr>
          <w:rFonts w:ascii="Arial" w:cs="Arial" w:eastAsia="Arial" w:hAnsi="Arial"/>
          <w:b w:val="1"/>
          <w:sz w:val="24"/>
          <w:szCs w:val="24"/>
          <w:rtl w:val="0"/>
        </w:rPr>
        <w:t xml:space="preserve">Motivazione</w:t>
      </w:r>
      <w:r w:rsidDel="00000000" w:rsidR="00000000" w:rsidRPr="00000000">
        <w:rPr>
          <w:rFonts w:ascii="Arial" w:cs="Arial" w:eastAsia="Arial" w:hAnsi="Arial"/>
          <w:sz w:val="24"/>
          <w:szCs w:val="24"/>
          <w:rtl w:val="0"/>
        </w:rPr>
        <w:t xml:space="preserve">") nelle suddette schede (</w:t>
      </w:r>
      <w:r w:rsidDel="00000000" w:rsidR="00000000" w:rsidRPr="00000000">
        <w:rPr>
          <w:rFonts w:ascii="Arial" w:cs="Arial" w:eastAsia="Arial" w:hAnsi="Arial"/>
          <w:b w:val="1"/>
          <w:sz w:val="24"/>
          <w:szCs w:val="24"/>
          <w:u w:val="single"/>
          <w:rtl w:val="0"/>
        </w:rPr>
        <w:t xml:space="preserve">Allegato B</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4">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 valutazioni, per quanto possibile, sono sostenute dai "dati oggettivi" in possesso dell'ente (PNA, Allegato n. 1, Part. 4.2, pag. 29).  </w:t>
      </w:r>
    </w:p>
    <w:p w:rsidR="00000000" w:rsidDel="00000000" w:rsidP="00000000" w:rsidRDefault="00000000" w:rsidRPr="00000000" w14:paraId="00000095">
      <w:pPr>
        <w:spacing w:after="0" w:before="12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96">
      <w:pPr>
        <w:keepNext w:val="1"/>
        <w:widowControl w:val="0"/>
        <w:numPr>
          <w:ilvl w:val="1"/>
          <w:numId w:val="6"/>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La ponderazione del rischio</w:t>
      </w:r>
    </w:p>
    <w:p w:rsidR="00000000" w:rsidDel="00000000" w:rsidP="00000000" w:rsidRDefault="00000000" w:rsidRPr="00000000" w14:paraId="00000097">
      <w:pPr>
        <w:spacing w:after="0" w:before="120" w:line="240" w:lineRule="auto"/>
        <w:jc w:val="both"/>
        <w:rPr>
          <w:rFonts w:ascii="Arial" w:cs="Arial" w:eastAsia="Arial" w:hAnsi="Arial"/>
          <w:sz w:val="24"/>
          <w:szCs w:val="24"/>
        </w:rPr>
      </w:pPr>
      <w:bookmarkStart w:colFirst="0" w:colLast="0" w:name="_heading=h.2p2csry" w:id="3"/>
      <w:bookmarkEnd w:id="3"/>
      <w:r w:rsidDel="00000000" w:rsidR="00000000" w:rsidRPr="00000000">
        <w:rPr>
          <w:rFonts w:ascii="Arial" w:cs="Arial" w:eastAsia="Arial" w:hAnsi="Arial"/>
          <w:sz w:val="24"/>
          <w:szCs w:val="24"/>
          <w:rtl w:val="0"/>
        </w:rPr>
        <w:t xml:space="preserve">La ponderazione è la fase conclusiva processo di valutazione del rischio. La ponderazione ha lo scopo di stabilire le azioni da intraprendere per ridurre l’esposizione al rischio e le priorità di trattamento dei rischi, considerando gli obiettivi dell’organizzazione e il contesto in cui la stessa opera, attraverso il loro confronto. </w:t>
      </w:r>
    </w:p>
    <w:p w:rsidR="00000000" w:rsidDel="00000000" w:rsidP="00000000" w:rsidRDefault="00000000" w:rsidRPr="00000000" w14:paraId="00000098">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criteri per la valutazione dell’esposizione al rischio di eventi corruttivi possono essere tradotti operativamente in indicatori di rischio (key risk indicators) in grado di fornire delle indicazioni sul livello di esposizione al rischio del processo o delle sue attività. Partendo dalla misurazione dei singoli indicatori, si dovrà pervenire ad una valutazione complessiva del livello di esposizione al rischio che ha lo scopo di fornire una misurazione sintetica del livello di rischio associabile all’oggetto di analisi (processo/attività o evento rischioso).</w:t>
      </w:r>
    </w:p>
    <w:p w:rsidR="00000000" w:rsidDel="00000000" w:rsidP="00000000" w:rsidRDefault="00000000" w:rsidRPr="00000000" w14:paraId="00000099">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questa fase, l’ RPCT, ha ritenuto di: </w:t>
      </w:r>
    </w:p>
    <w:p w:rsidR="00000000" w:rsidDel="00000000" w:rsidP="00000000" w:rsidRDefault="00000000" w:rsidRPr="00000000" w14:paraId="0000009A">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assegnare la massima priorità agli oggetti di analisi che hanno ottenuto una valutazione complessiva di rischio </w:t>
      </w:r>
      <w:r w:rsidDel="00000000" w:rsidR="00000000" w:rsidRPr="00000000">
        <w:rPr>
          <w:rFonts w:ascii="Arial" w:cs="Arial" w:eastAsia="Arial" w:hAnsi="Arial"/>
          <w:b w:val="1"/>
          <w:sz w:val="24"/>
          <w:szCs w:val="24"/>
          <w:rtl w:val="0"/>
        </w:rPr>
        <w:t xml:space="preserve">A++</w:t>
      </w:r>
      <w:r w:rsidDel="00000000" w:rsidR="00000000" w:rsidRPr="00000000">
        <w:rPr>
          <w:rFonts w:ascii="Arial" w:cs="Arial" w:eastAsia="Arial" w:hAnsi="Arial"/>
          <w:sz w:val="24"/>
          <w:szCs w:val="24"/>
          <w:rtl w:val="0"/>
        </w:rPr>
        <w:t xml:space="preserve"> ("rischio altissimo") procedendo, poi, in ordine decrescente di valutazione secondo la scala ordinale; </w:t>
      </w:r>
    </w:p>
    <w:p w:rsidR="00000000" w:rsidDel="00000000" w:rsidP="00000000" w:rsidRDefault="00000000" w:rsidRPr="00000000" w14:paraId="0000009B">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prevedere "misure specifiche" per gli oggetti di analisi con valutazione A++, A+, A. </w:t>
      </w:r>
    </w:p>
    <w:p w:rsidR="00000000" w:rsidDel="00000000" w:rsidP="00000000" w:rsidRDefault="00000000" w:rsidRPr="00000000" w14:paraId="0000009C">
      <w:pPr>
        <w:spacing w:after="0" w:before="120" w:line="240" w:lineRule="auto"/>
        <w:rPr>
          <w:rFonts w:ascii="Arial" w:cs="Arial" w:eastAsia="Arial" w:hAnsi="Arial"/>
          <w:color w:val="ff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D">
      <w:pPr>
        <w:spacing w:after="0" w:before="12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9E">
      <w:pPr>
        <w:keepNext w:val="1"/>
        <w:widowControl w:val="0"/>
        <w:numPr>
          <w:ilvl w:val="0"/>
          <w:numId w:val="1"/>
        </w:numPr>
        <w:pBdr>
          <w:top w:space="0" w:sz="0" w:val="nil"/>
          <w:left w:space="0" w:sz="0" w:val="nil"/>
          <w:bottom w:space="0" w:sz="0" w:val="nil"/>
          <w:right w:space="0" w:sz="0" w:val="nil"/>
          <w:between w:space="0" w:sz="0" w:val="nil"/>
        </w:pBdr>
        <w:shd w:fill="d9d9d9" w:val="clear"/>
        <w:spacing w:after="240" w:before="120" w:line="36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Il trattamento del rischio</w:t>
      </w:r>
    </w:p>
    <w:p w:rsidR="00000000" w:rsidDel="00000000" w:rsidP="00000000" w:rsidRDefault="00000000" w:rsidRPr="00000000" w14:paraId="0000009F">
      <w:pPr>
        <w:spacing w:after="0" w:before="120" w:line="240" w:lineRule="auto"/>
        <w:jc w:val="both"/>
        <w:rPr>
          <w:rFonts w:ascii="Arial" w:cs="Arial" w:eastAsia="Arial" w:hAnsi="Arial"/>
          <w:sz w:val="24"/>
          <w:szCs w:val="24"/>
        </w:rPr>
      </w:pPr>
      <w:bookmarkStart w:colFirst="0" w:colLast="0" w:name="_heading=h.3o7alnk" w:id="4"/>
      <w:bookmarkEnd w:id="4"/>
      <w:r w:rsidDel="00000000" w:rsidR="00000000" w:rsidRPr="00000000">
        <w:rPr>
          <w:rFonts w:ascii="Arial" w:cs="Arial" w:eastAsia="Arial" w:hAnsi="Arial"/>
          <w:sz w:val="24"/>
          <w:szCs w:val="24"/>
          <w:rtl w:val="0"/>
        </w:rPr>
        <w:t xml:space="preserve">Il trattamento del rischio consiste nell’individuazione, la progettazione e la programmazione delle misure generali e specifiche finalizzate a ridurre il rischio corruttivo identificato mediante le attività propedeutiche sopra descritte. </w:t>
      </w:r>
    </w:p>
    <w:p w:rsidR="00000000" w:rsidDel="00000000" w:rsidP="00000000" w:rsidRDefault="00000000" w:rsidRPr="00000000" w14:paraId="000000A0">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 </w:t>
      </w:r>
      <w:r w:rsidDel="00000000" w:rsidR="00000000" w:rsidRPr="00000000">
        <w:rPr>
          <w:rFonts w:ascii="Arial" w:cs="Arial" w:eastAsia="Arial" w:hAnsi="Arial"/>
          <w:b w:val="1"/>
          <w:sz w:val="24"/>
          <w:szCs w:val="24"/>
          <w:rtl w:val="0"/>
        </w:rPr>
        <w:t xml:space="preserve">misure generali</w:t>
      </w:r>
      <w:r w:rsidDel="00000000" w:rsidR="00000000" w:rsidRPr="00000000">
        <w:rPr>
          <w:rFonts w:ascii="Arial" w:cs="Arial" w:eastAsia="Arial" w:hAnsi="Arial"/>
          <w:sz w:val="24"/>
          <w:szCs w:val="24"/>
          <w:rtl w:val="0"/>
        </w:rPr>
        <w:t xml:space="preserve"> intervengono in maniera trasversale sull’intera amministrazione e si caratterizzano per la loro incidenza sul sistema complessivo della prevenzione della corruzione e per la loro stabilità nel tempo. Le </w:t>
      </w:r>
      <w:r w:rsidDel="00000000" w:rsidR="00000000" w:rsidRPr="00000000">
        <w:rPr>
          <w:rFonts w:ascii="Arial" w:cs="Arial" w:eastAsia="Arial" w:hAnsi="Arial"/>
          <w:b w:val="1"/>
          <w:sz w:val="24"/>
          <w:szCs w:val="24"/>
          <w:rtl w:val="0"/>
        </w:rPr>
        <w:t xml:space="preserve">misure specifiche</w:t>
      </w:r>
      <w:r w:rsidDel="00000000" w:rsidR="00000000" w:rsidRPr="00000000">
        <w:rPr>
          <w:rFonts w:ascii="Arial" w:cs="Arial" w:eastAsia="Arial" w:hAnsi="Arial"/>
          <w:sz w:val="24"/>
          <w:szCs w:val="24"/>
          <w:rtl w:val="0"/>
        </w:rPr>
        <w:t xml:space="preserve">, che si affiancano ed aggiungono sia alle misure generali, sia alla trasparenza, agiscono in maniera puntuale su alcuni specifici rischi e si caratterizzano per l’incidenza su problemi peculiari.</w:t>
      </w:r>
    </w:p>
    <w:p w:rsidR="00000000" w:rsidDel="00000000" w:rsidP="00000000" w:rsidRDefault="00000000" w:rsidRPr="00000000" w14:paraId="000000A1">
      <w:pPr>
        <w:spacing w:after="0" w:before="120" w:line="240" w:lineRule="auto"/>
        <w:jc w:val="both"/>
        <w:rPr>
          <w:rFonts w:ascii="Arial" w:cs="Arial" w:eastAsia="Arial" w:hAnsi="Arial"/>
          <w:color w:val="002060"/>
          <w:sz w:val="24"/>
          <w:szCs w:val="24"/>
        </w:rPr>
      </w:pPr>
      <w:r w:rsidDel="00000000" w:rsidR="00000000" w:rsidRPr="00000000">
        <w:rPr>
          <w:rtl w:val="0"/>
        </w:rPr>
      </w:r>
    </w:p>
    <w:p w:rsidR="00000000" w:rsidDel="00000000" w:rsidP="00000000" w:rsidRDefault="00000000" w:rsidRPr="00000000" w14:paraId="000000A2">
      <w:pPr>
        <w:keepNext w:val="1"/>
        <w:widowControl w:val="0"/>
        <w:numPr>
          <w:ilvl w:val="1"/>
          <w:numId w:val="1"/>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Individuazione delle misure</w:t>
      </w:r>
    </w:p>
    <w:p w:rsidR="00000000" w:rsidDel="00000000" w:rsidP="00000000" w:rsidRDefault="00000000" w:rsidRPr="00000000" w14:paraId="000000A3">
      <w:pPr>
        <w:spacing w:after="0" w:before="120" w:line="240" w:lineRule="auto"/>
        <w:jc w:val="both"/>
        <w:rPr>
          <w:rFonts w:ascii="Arial" w:cs="Arial" w:eastAsia="Arial" w:hAnsi="Arial"/>
          <w:sz w:val="24"/>
          <w:szCs w:val="24"/>
        </w:rPr>
      </w:pPr>
      <w:bookmarkStart w:colFirst="0" w:colLast="0" w:name="_heading=h.ihv636" w:id="5"/>
      <w:bookmarkEnd w:id="5"/>
      <w:r w:rsidDel="00000000" w:rsidR="00000000" w:rsidRPr="00000000">
        <w:rPr>
          <w:rFonts w:ascii="Arial" w:cs="Arial" w:eastAsia="Arial" w:hAnsi="Arial"/>
          <w:sz w:val="24"/>
          <w:szCs w:val="24"/>
          <w:rtl w:val="0"/>
        </w:rPr>
        <w:t xml:space="preserve">Il primo step del trattamento del rischio ha l'obiettivo di identificare le misure di prevenzione, in funzione delle criticità rilevate in sede di analisi. </w:t>
      </w:r>
    </w:p>
    <w:p w:rsidR="00000000" w:rsidDel="00000000" w:rsidP="00000000" w:rsidRDefault="00000000" w:rsidRPr="00000000" w14:paraId="000000A4">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questa fase, l’ RPCT, ha individuato misure generali e misure specifiche, in particolare per i processi che hanno ottenuto una valutazione del livello di rischio </w:t>
      </w:r>
      <w:r w:rsidDel="00000000" w:rsidR="00000000" w:rsidRPr="00000000">
        <w:rPr>
          <w:rFonts w:ascii="Arial" w:cs="Arial" w:eastAsia="Arial" w:hAnsi="Arial"/>
          <w:b w:val="1"/>
          <w:sz w:val="24"/>
          <w:szCs w:val="24"/>
          <w:rtl w:val="0"/>
        </w:rPr>
        <w:t xml:space="preserve">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5">
      <w:pPr>
        <w:spacing w:after="0" w:before="120" w:line="240" w:lineRule="auto"/>
        <w:jc w:val="both"/>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Le misure sono state puntualmente indicate e descritte nelle schede allegate denominate "</w:t>
      </w:r>
      <w:r w:rsidDel="00000000" w:rsidR="00000000" w:rsidRPr="00000000">
        <w:rPr>
          <w:rFonts w:ascii="Arial" w:cs="Arial" w:eastAsia="Arial" w:hAnsi="Arial"/>
          <w:b w:val="1"/>
          <w:sz w:val="24"/>
          <w:szCs w:val="24"/>
          <w:u w:val="single"/>
          <w:rtl w:val="0"/>
        </w:rPr>
        <w:t xml:space="preserve">Individuazione e programmazione delle misure</w:t>
      </w:r>
      <w:r w:rsidDel="00000000" w:rsidR="00000000" w:rsidRPr="00000000">
        <w:rPr>
          <w:rFonts w:ascii="Arial" w:cs="Arial" w:eastAsia="Arial" w:hAnsi="Arial"/>
          <w:sz w:val="24"/>
          <w:szCs w:val="24"/>
          <w:u w:val="single"/>
          <w:rtl w:val="0"/>
        </w:rPr>
        <w:t xml:space="preserve">", </w:t>
      </w:r>
      <w:r w:rsidDel="00000000" w:rsidR="00000000" w:rsidRPr="00000000">
        <w:rPr>
          <w:rFonts w:ascii="Arial" w:cs="Arial" w:eastAsia="Arial" w:hAnsi="Arial"/>
          <w:b w:val="1"/>
          <w:sz w:val="24"/>
          <w:szCs w:val="24"/>
          <w:u w:val="single"/>
          <w:rtl w:val="0"/>
        </w:rPr>
        <w:t xml:space="preserve">Allegato C</w:t>
      </w:r>
      <w:r w:rsidDel="00000000" w:rsidR="00000000" w:rsidRPr="00000000">
        <w:rPr>
          <w:rFonts w:ascii="Arial" w:cs="Arial" w:eastAsia="Arial" w:hAnsi="Arial"/>
          <w:sz w:val="24"/>
          <w:szCs w:val="24"/>
          <w:u w:val="single"/>
          <w:rtl w:val="0"/>
        </w:rPr>
        <w:t xml:space="preserve">. </w:t>
      </w:r>
    </w:p>
    <w:p w:rsidR="00000000" w:rsidDel="00000000" w:rsidP="00000000" w:rsidRDefault="00000000" w:rsidRPr="00000000" w14:paraId="000000A6">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 misure sono elencate e descritte nella </w:t>
      </w:r>
      <w:r w:rsidDel="00000000" w:rsidR="00000000" w:rsidRPr="00000000">
        <w:rPr>
          <w:rFonts w:ascii="Arial" w:cs="Arial" w:eastAsia="Arial" w:hAnsi="Arial"/>
          <w:b w:val="1"/>
          <w:sz w:val="24"/>
          <w:szCs w:val="24"/>
          <w:u w:val="single"/>
          <w:rtl w:val="0"/>
        </w:rPr>
        <w:t xml:space="preserve">colonna E</w:t>
      </w:r>
      <w:r w:rsidDel="00000000" w:rsidR="00000000" w:rsidRPr="00000000">
        <w:rPr>
          <w:rFonts w:ascii="Arial" w:cs="Arial" w:eastAsia="Arial" w:hAnsi="Arial"/>
          <w:sz w:val="24"/>
          <w:szCs w:val="24"/>
          <w:rtl w:val="0"/>
        </w:rPr>
        <w:t xml:space="preserve"> delle suddette schede.</w:t>
      </w:r>
    </w:p>
    <w:p w:rsidR="00000000" w:rsidDel="00000000" w:rsidP="00000000" w:rsidRDefault="00000000" w:rsidRPr="00000000" w14:paraId="000000A7">
      <w:pPr>
        <w:spacing w:after="0" w:before="12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 ciascun oggetto analisi è stata individuata e programmata almeno una misura di contrasto o prevenzione, secondo il criterio del "miglior rapporto costo/efficacia". </w:t>
      </w:r>
    </w:p>
    <w:p w:rsidR="00000000" w:rsidDel="00000000" w:rsidP="00000000" w:rsidRDefault="00000000" w:rsidRPr="00000000" w14:paraId="000000A8">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 principali misure, inoltre, sono state ripartite per singola “area di rischio” (</w:t>
      </w:r>
      <w:r w:rsidDel="00000000" w:rsidR="00000000" w:rsidRPr="00000000">
        <w:rPr>
          <w:rFonts w:ascii="Arial" w:cs="Arial" w:eastAsia="Arial" w:hAnsi="Arial"/>
          <w:b w:val="1"/>
          <w:sz w:val="24"/>
          <w:szCs w:val="24"/>
          <w:u w:val="single"/>
          <w:rtl w:val="0"/>
        </w:rPr>
        <w:t xml:space="preserve">Allegato C1</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9">
      <w:pPr>
        <w:spacing w:after="0" w:before="12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AA">
      <w:pPr>
        <w:spacing w:after="0" w:before="120" w:line="240" w:lineRule="auto"/>
        <w:jc w:val="both"/>
        <w:rPr>
          <w:rFonts w:ascii="Arial" w:cs="Arial" w:eastAsia="Arial" w:hAnsi="Arial"/>
          <w:sz w:val="24"/>
          <w:szCs w:val="24"/>
        </w:rPr>
      </w:pPr>
      <w:bookmarkStart w:colFirst="0" w:colLast="0" w:name="_heading=h.32hioqz" w:id="6"/>
      <w:bookmarkEnd w:id="6"/>
      <w:r w:rsidDel="00000000" w:rsidR="00000000" w:rsidRPr="00000000">
        <w:rPr>
          <w:rFonts w:ascii="Arial" w:cs="Arial" w:eastAsia="Arial" w:hAnsi="Arial"/>
          <w:sz w:val="24"/>
          <w:szCs w:val="24"/>
          <w:rtl w:val="0"/>
        </w:rPr>
        <w:t xml:space="preserve">La seconda parte del trattamento è la programmazione operativa delle misure. </w:t>
      </w:r>
    </w:p>
    <w:p w:rsidR="00000000" w:rsidDel="00000000" w:rsidP="00000000" w:rsidRDefault="00000000" w:rsidRPr="00000000" w14:paraId="000000AB">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L’RPCT dopo aver individuato misure generali e misure specifiche (elencate e descritte nelle schede allegate denominate "</w:t>
      </w:r>
      <w:r w:rsidDel="00000000" w:rsidR="00000000" w:rsidRPr="00000000">
        <w:rPr>
          <w:rFonts w:ascii="Arial" w:cs="Arial" w:eastAsia="Arial" w:hAnsi="Arial"/>
          <w:b w:val="1"/>
          <w:sz w:val="24"/>
          <w:szCs w:val="24"/>
          <w:rtl w:val="0"/>
        </w:rPr>
        <w:t xml:space="preserve">Individuazione e programmazione delle misure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u w:val="single"/>
          <w:rtl w:val="0"/>
        </w:rPr>
        <w:t xml:space="preserve">Allegato C</w:t>
      </w:r>
      <w:r w:rsidDel="00000000" w:rsidR="00000000" w:rsidRPr="00000000">
        <w:rPr>
          <w:rFonts w:ascii="Arial" w:cs="Arial" w:eastAsia="Arial" w:hAnsi="Arial"/>
          <w:sz w:val="24"/>
          <w:szCs w:val="24"/>
          <w:rtl w:val="0"/>
        </w:rPr>
        <w:t xml:space="preserve">, ha provveduto alla programmazione temporale dell’attuazione medesime, fissando anche le modalità di attuazione. </w:t>
      </w:r>
    </w:p>
    <w:p w:rsidR="00000000" w:rsidDel="00000000" w:rsidP="00000000" w:rsidRDefault="00000000" w:rsidRPr="00000000" w14:paraId="000000AC">
      <w:pPr>
        <w:spacing w:after="0" w:before="120" w:line="240" w:lineRule="auto"/>
        <w:jc w:val="both"/>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Per ciascun oggetto di analisi ciò è descritto nella </w:t>
      </w:r>
      <w:r w:rsidDel="00000000" w:rsidR="00000000" w:rsidRPr="00000000">
        <w:rPr>
          <w:rFonts w:ascii="Arial" w:cs="Arial" w:eastAsia="Arial" w:hAnsi="Arial"/>
          <w:b w:val="1"/>
          <w:sz w:val="24"/>
          <w:szCs w:val="24"/>
          <w:u w:val="single"/>
          <w:rtl w:val="0"/>
        </w:rPr>
        <w:t xml:space="preserve">colonna F</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Programmazione delle misure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u w:val="single"/>
          <w:rtl w:val="0"/>
        </w:rPr>
        <w:t xml:space="preserve">dell’Allegato C</w:t>
      </w:r>
      <w:r w:rsidDel="00000000" w:rsidR="00000000" w:rsidRPr="00000000">
        <w:rPr>
          <w:rFonts w:ascii="Arial" w:cs="Arial" w:eastAsia="Arial" w:hAnsi="Arial"/>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AD">
      <w:pPr>
        <w:spacing w:after="0" w:before="12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AE">
      <w:pPr>
        <w:keepNext w:val="1"/>
        <w:widowControl w:val="0"/>
        <w:numPr>
          <w:ilvl w:val="0"/>
          <w:numId w:val="1"/>
        </w:numPr>
        <w:pBdr>
          <w:top w:space="0" w:sz="0" w:val="nil"/>
          <w:left w:space="0" w:sz="0" w:val="nil"/>
          <w:bottom w:space="0" w:sz="0" w:val="nil"/>
          <w:right w:space="0" w:sz="0" w:val="nil"/>
          <w:between w:space="0" w:sz="0" w:val="nil"/>
        </w:pBdr>
        <w:shd w:fill="d9d9d9" w:val="clear"/>
        <w:spacing w:after="240" w:before="120" w:line="36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Le misure di prevenzione e contrasto</w:t>
      </w:r>
    </w:p>
    <w:p w:rsidR="00000000" w:rsidDel="00000000" w:rsidP="00000000" w:rsidRDefault="00000000" w:rsidRPr="00000000" w14:paraId="000000AF">
      <w:pPr>
        <w:keepNext w:val="1"/>
        <w:widowControl w:val="0"/>
        <w:numPr>
          <w:ilvl w:val="1"/>
          <w:numId w:val="4"/>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Il Codice di comportamento</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Il comma 3, dell'art. 54 del d.lgs. 165/2001 e smi, dispone che ciascuna amministrazione elabori un proprio Codice di comportamento. </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Il decreto-legge 30.04.2022, n. 36, convertito, con modificazioni, dalla Legge 29.06.2022, n. 79, recante “Ulteriori misure urgenti per l’attuazione del Piano nazionale di ripresa e resilienza (PNRR)”, e, in particolare, l’art. 4, ha disciplinato l’introduzione, nell’ambito del Codice di Comportamento dei</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dipendenti pubblici, di misure in materia di utilizzo delle tecnologie informatiche e dei mezzi di informazione e social media;</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delibera n. 177/2020 dell’Autorità nazionale anticorruzione e per la valutazione e la trasparenza delle pubbliche amministrazioni (A.N.AC.) “Linee guida in materia di codici di comportamento delle pubbliche amministrazioni prevede misure di revisione e di aggiornamento per i Codici di comportamento delle Amministrazioni pubbliche in sostituzione delle precedenti di cui alla deliberazione n. 75/2013”.</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Il D.P.R. n. 81 del 13.06.2023 ha apportato sostanziali modifiche al decreto del Presidente della Repubblica 16 aprile 2013, n. 62, recante: «Codice di comportamento dei dipendenti pubblici, a norma dell’articolo 54 del decreto legislativo 30 marzo 2001, n. 165».</w:t>
      </w:r>
    </w:p>
    <w:p w:rsidR="00000000" w:rsidDel="00000000" w:rsidP="00000000" w:rsidRDefault="00000000" w:rsidRPr="00000000" w14:paraId="000000B5">
      <w:pPr>
        <w:spacing w:after="24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data 16.11.2022 è stato sottoscritto il C.C.N.L. del personale del comparto Funzioni Locali – anni 2019/2021, che all’art. 72 contiene il nuovo</w:t>
      </w:r>
      <w:hyperlink r:id="rId7">
        <w:r w:rsidDel="00000000" w:rsidR="00000000" w:rsidRPr="00000000">
          <w:rPr>
            <w:rFonts w:ascii="Arial" w:cs="Arial" w:eastAsia="Arial" w:hAnsi="Arial"/>
            <w:sz w:val="24"/>
            <w:szCs w:val="24"/>
            <w:rtl w:val="0"/>
          </w:rPr>
          <w:t xml:space="preserve"> </w:t>
        </w:r>
      </w:hyperlink>
      <w:hyperlink r:id="rId8">
        <w:r w:rsidDel="00000000" w:rsidR="00000000" w:rsidRPr="00000000">
          <w:rPr>
            <w:rFonts w:ascii="Arial" w:cs="Arial" w:eastAsia="Arial" w:hAnsi="Arial"/>
            <w:sz w:val="24"/>
            <w:szCs w:val="24"/>
            <w:u w:val="single"/>
            <w:rtl w:val="0"/>
          </w:rPr>
          <w:t xml:space="preserve">Codice disciplinare</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MISURA GENERALE N. 1</w:t>
      </w:r>
    </w:p>
    <w:p w:rsidR="00000000" w:rsidDel="00000000" w:rsidP="00000000" w:rsidRDefault="00000000" w:rsidRPr="00000000" w14:paraId="000000B8">
      <w:pPr>
        <w:spacing w:after="24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Giunta comunale con Deliberazione </w:t>
      </w:r>
      <w:r w:rsidDel="00000000" w:rsidR="00000000" w:rsidRPr="00000000">
        <w:rPr>
          <w:rFonts w:ascii="Arial" w:cs="Arial" w:eastAsia="Arial" w:hAnsi="Arial"/>
          <w:sz w:val="24"/>
          <w:szCs w:val="24"/>
          <w:rtl w:val="0"/>
        </w:rPr>
        <w:t xml:space="preserve">n. 10 del 27.01.2024 ha approvato l’aggiornamento del codice di comportamento per i dipendenti comunali conformemente alle previsioni di cui alla Legge n. 79/2022 e al D.P.R. N. 81/2023.</w:t>
      </w:r>
    </w:p>
    <w:p w:rsidR="00000000" w:rsidDel="00000000" w:rsidP="00000000" w:rsidRDefault="00000000" w:rsidRPr="00000000" w14:paraId="000000B9">
      <w:pPr>
        <w:spacing w:after="24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codice disciplinare è stato pubblicato a norma dell’art. 72. Comma 12 del CCNL 16/11/2022</w:t>
      </w:r>
    </w:p>
    <w:p w:rsidR="00000000" w:rsidDel="00000000" w:rsidP="00000000" w:rsidRDefault="00000000" w:rsidRPr="00000000" w14:paraId="000000BA">
      <w:pPr>
        <w:spacing w:after="24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misura è pertanto già operativa. </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C">
      <w:pPr>
        <w:keepNext w:val="1"/>
        <w:widowControl w:val="0"/>
        <w:numPr>
          <w:ilvl w:val="1"/>
          <w:numId w:val="4"/>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Conflitto di interessi</w:t>
      </w:r>
    </w:p>
    <w:p w:rsidR="00000000" w:rsidDel="00000000" w:rsidP="00000000" w:rsidRDefault="00000000" w:rsidRPr="00000000" w14:paraId="000000BD">
      <w:pPr>
        <w:spacing w:after="0" w:before="12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L’art. 6-bis della legge 241/1990 (aggiunto dalla legge 190/2012, art. 1, comma 41) prevede che i responsabili del procedimento, nonché i titolari degli uffici competenti ad esprimere pareri, svolgere valutazioni tecniche e atti endoprocedimentali e ad assumere i provvedimenti conclusivi, debbano astenersi in caso di “conflitto di interessi”, segnalando ogni situazione, anche solo potenziale, di conflitto.</w:t>
      </w:r>
    </w:p>
    <w:p w:rsidR="00000000" w:rsidDel="00000000" w:rsidP="00000000" w:rsidRDefault="00000000" w:rsidRPr="00000000" w14:paraId="000000BE">
      <w:pPr>
        <w:spacing w:after="0" w:before="12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Il DPR 62/2013, il Codice di comportamento dei dipendenti pubblici, norma il conflitto di interessi agli artt. 6, 7 e 14. Il dipendente pubblico ha il dovere di astenersi in ogni caso in cui esistano “gravi ragioni di convenienza”. Sull'obbligo di astensione decide il responsabile dell'ufficio di appartenenza. L’art. 7 stabilisce che il dipendente si debba astenere sia dall’assumere decisioni, che dallo svolgere attività che possano coinvolgere interessi: </w:t>
      </w:r>
    </w:p>
    <w:p w:rsidR="00000000" w:rsidDel="00000000" w:rsidP="00000000" w:rsidRDefault="00000000" w:rsidRPr="00000000" w14:paraId="000000BF">
      <w:pPr>
        <w:numPr>
          <w:ilvl w:val="0"/>
          <w:numId w:val="3"/>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dello stesso dipendente;  </w:t>
      </w:r>
    </w:p>
    <w:p w:rsidR="00000000" w:rsidDel="00000000" w:rsidP="00000000" w:rsidRDefault="00000000" w:rsidRPr="00000000" w14:paraId="000000C0">
      <w:pPr>
        <w:numPr>
          <w:ilvl w:val="0"/>
          <w:numId w:val="3"/>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di suoi parenti o affini entro il secondo grado, del coniuge o di conviventi; </w:t>
      </w:r>
    </w:p>
    <w:p w:rsidR="00000000" w:rsidDel="00000000" w:rsidP="00000000" w:rsidRDefault="00000000" w:rsidRPr="00000000" w14:paraId="000000C1">
      <w:pPr>
        <w:numPr>
          <w:ilvl w:val="0"/>
          <w:numId w:val="3"/>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di persone con le quali il dipendente abbia “rapporti di frequentazione abituale”; </w:t>
      </w:r>
    </w:p>
    <w:p w:rsidR="00000000" w:rsidDel="00000000" w:rsidP="00000000" w:rsidRDefault="00000000" w:rsidRPr="00000000" w14:paraId="000000C2">
      <w:pPr>
        <w:numPr>
          <w:ilvl w:val="0"/>
          <w:numId w:val="3"/>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di soggetti od organizzazioni con cui il dipendente, ovvero il suo coniuge, abbia una causa pendente, ovvero rapporti di “grave inimicizia” o di credito o debito significativi; </w:t>
      </w:r>
    </w:p>
    <w:p w:rsidR="00000000" w:rsidDel="00000000" w:rsidP="00000000" w:rsidRDefault="00000000" w:rsidRPr="00000000" w14:paraId="000000C3">
      <w:pPr>
        <w:numPr>
          <w:ilvl w:val="0"/>
          <w:numId w:val="3"/>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di soggetti od organizzazioni di cui sia tutore, curatore, procuratore o agente; </w:t>
      </w:r>
    </w:p>
    <w:p w:rsidR="00000000" w:rsidDel="00000000" w:rsidP="00000000" w:rsidRDefault="00000000" w:rsidRPr="00000000" w14:paraId="000000C4">
      <w:pPr>
        <w:numPr>
          <w:ilvl w:val="0"/>
          <w:numId w:val="3"/>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di enti, associazioni anche non riconosciute, comitati, società o stabilimenti di cui sia amministratore o gerente o dirigente. </w:t>
      </w:r>
    </w:p>
    <w:p w:rsidR="00000000" w:rsidDel="00000000" w:rsidP="00000000" w:rsidRDefault="00000000" w:rsidRPr="00000000" w14:paraId="000000C5">
      <w:pPr>
        <w:spacing w:after="0" w:before="12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Ogni qual volta si configurino le descritte situazioni di conflitto di interessi, il dipendente è tenuto a darne tempestivamente comunicazione al responsabile dell’ufficio di appartenenza, il quale valuterà, nel caso concreto, l’eventuale sussistenza del contrasto tra l’interesse privato ed il bene pubblico.</w:t>
      </w:r>
    </w:p>
    <w:p w:rsidR="00000000" w:rsidDel="00000000" w:rsidP="00000000" w:rsidRDefault="00000000" w:rsidRPr="00000000" w14:paraId="000000C6">
      <w:pPr>
        <w:spacing w:after="0" w:before="12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All’atto dell’assegnazione all’ufficio, il dipendente pubblico ha il dovere di dichiarare l’insussistenza di situazioni di conflitto di interessi. </w:t>
      </w:r>
    </w:p>
    <w:p w:rsidR="00000000" w:rsidDel="00000000" w:rsidP="00000000" w:rsidRDefault="00000000" w:rsidRPr="00000000" w14:paraId="000000C7">
      <w:pPr>
        <w:spacing w:after="0" w:before="12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Deve informare per iscritto il dirigente di tutti i rapporti, diretti o indiretti, di collaborazione con soggetti privati, in qualunque modo retribuiti, che lo stesso abbia in essere o abbia avuto negli ultimi tre anni. </w:t>
      </w:r>
    </w:p>
    <w:p w:rsidR="00000000" w:rsidDel="00000000" w:rsidP="00000000" w:rsidRDefault="00000000" w:rsidRPr="00000000" w14:paraId="000000C8">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La suddetta comunicazione deve precisare: </w:t>
      </w:r>
      <w:r w:rsidDel="00000000" w:rsidR="00000000" w:rsidRPr="00000000">
        <w:rPr>
          <w:rtl w:val="0"/>
        </w:rPr>
      </w:r>
    </w:p>
    <w:p w:rsidR="00000000" w:rsidDel="00000000" w:rsidP="00000000" w:rsidRDefault="00000000" w:rsidRPr="00000000" w14:paraId="000000C9">
      <w:pPr>
        <w:numPr>
          <w:ilvl w:val="0"/>
          <w:numId w:val="5"/>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se il dipendente personalmente, o suoi parenti, o affini entro il secondo grado, il suo coniuge o il convivente abbiano ancora rapporti finanziari con il soggetto con cui ha avuto i predetti rapporti di collaborazione;</w:t>
      </w:r>
    </w:p>
    <w:p w:rsidR="00000000" w:rsidDel="00000000" w:rsidP="00000000" w:rsidRDefault="00000000" w:rsidRPr="00000000" w14:paraId="000000CA">
      <w:pPr>
        <w:numPr>
          <w:ilvl w:val="0"/>
          <w:numId w:val="5"/>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e se tali rapporti siano intercorsi, o intercorrano tuttora, con soggetti che abbiano interessi in attività o decisioni inerenti all'ufficio, limitatamente alle pratiche a lui affidate.</w:t>
      </w:r>
    </w:p>
    <w:p w:rsidR="00000000" w:rsidDel="00000000" w:rsidP="00000000" w:rsidRDefault="00000000" w:rsidRPr="00000000" w14:paraId="000000CB">
      <w:pPr>
        <w:spacing w:after="0" w:before="12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Il dipendente, inoltre, ha l’obbligo di tenere aggiornata l’amministrazione sulla sopravvenienza di eventuali situazioni di conflitto di interessi.</w:t>
      </w:r>
    </w:p>
    <w:p w:rsidR="00000000" w:rsidDel="00000000" w:rsidP="00000000" w:rsidRDefault="00000000" w:rsidRPr="00000000" w14:paraId="000000CC">
      <w:pPr>
        <w:spacing w:after="0" w:before="12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Qualora il dipendente si trovi in una situazione di conflitto di interessi, anche solo potenziale, deve segnalarlo tempestivamente al dirigente o al superiore gerarchico o, in assenza di quest’ultimo, all’organo di indirizzo. </w:t>
      </w:r>
    </w:p>
    <w:p w:rsidR="00000000" w:rsidDel="00000000" w:rsidP="00000000" w:rsidRDefault="00000000" w:rsidRPr="00000000" w14:paraId="000000CD">
      <w:pPr>
        <w:spacing w:after="0" w:before="12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Questi, esaminate le circostanze, valuteranno se la situazione rilevata realizzi un conflitto di interessi che leda l’imparzialità dell’agire amministrativo. In caso affermativo, ne daranno comunicazione al dipendente. </w:t>
      </w:r>
    </w:p>
    <w:p w:rsidR="00000000" w:rsidDel="00000000" w:rsidP="00000000" w:rsidRDefault="00000000" w:rsidRPr="00000000" w14:paraId="000000CE">
      <w:pPr>
        <w:spacing w:after="0" w:before="12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La violazione degli obblighi di comunicazione ed astensione integra comportamenti contrari ai doveri d’ufficio e, pertanto, è fonte di responsabilità disciplinare, fatte salve eventuali ulteriori responsabilità civili, penali, contabili o amministrative. Pertanto, le attività di prevenzione, verifica e applicazione delle sanzioni sono a carico della singola amministrazione. </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MISURA GENERALE N. 2</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L’ente applica con puntualità la esaustiva e dettagliata disciplina di cui agli artt. 53 del d.lgs. 165/2001 e 60 del DPR 3/1957.  </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Allo scopo di monitorare e rilevare eventuali situazioni di conflitto di interesse, anche solo potenziale, il RPCT aggiorna annualmente periodicamente le dichiarazioni rese dai dipendenti. </w:t>
      </w:r>
    </w:p>
    <w:p w:rsidR="00000000" w:rsidDel="00000000" w:rsidP="00000000" w:rsidRDefault="00000000" w:rsidRPr="00000000" w14:paraId="000000D3">
      <w:pPr>
        <w:keepNext w:val="1"/>
        <w:widowControl w:val="0"/>
        <w:pBdr>
          <w:top w:space="0" w:sz="0" w:val="nil"/>
          <w:left w:space="0" w:sz="0" w:val="nil"/>
          <w:bottom w:space="0" w:sz="0" w:val="nil"/>
          <w:right w:space="0" w:sz="0" w:val="nil"/>
          <w:between w:space="0" w:sz="0" w:val="nil"/>
        </w:pBdr>
        <w:spacing w:after="0" w:before="12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4">
      <w:pPr>
        <w:keepNext w:val="1"/>
        <w:widowControl w:val="0"/>
        <w:numPr>
          <w:ilvl w:val="1"/>
          <w:numId w:val="4"/>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Inconferibilità e incompatibilità degli incarichi dirigenziali</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 provvede a acquisire, conservare e verifica le dichiarazioni rese ai sensi dell’art. 20 del d.lgs. n. 39/2013. Inoltre, si effettua il monitoraggio delle singole posizioni soggettive, rivolgendo particolare attenzione alle situazioni di inconferibilità legate alle condanne per reati contro la pubblica amministrazione. </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procedura di conferimento degli incarichi prevede:</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preventiva acquisizione della dichiarazione di insussistenza di cause di inconferibilità o incompatibilità da parte del destinatario dell’incarico; </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successiva verifica della suddetta dichiarazione;  </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il conferimento dell’incarico solo all’esito positivo della verifica (ovvero assenza di motivi ostativi al conferimento stesso); </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il richiamo nell’atto di conferimento dell’incarico, ove necessario ai sensi dell’art. 14 del d.lgs. 33/2013, della dichiarazione di insussistenza di cause di inconferibilità e incompatibilità, ai sensi dell’art. 20, co. 3, del d.lgs. 39/2013. </w:t>
      </w:r>
    </w:p>
    <w:p w:rsidR="00000000" w:rsidDel="00000000" w:rsidP="00000000" w:rsidRDefault="00000000" w:rsidRPr="00000000" w14:paraId="000000DB">
      <w:pPr>
        <w:keepNext w:val="1"/>
        <w:widowControl w:val="0"/>
        <w:pBdr>
          <w:top w:space="0" w:sz="0" w:val="nil"/>
          <w:left w:space="0" w:sz="0" w:val="nil"/>
          <w:bottom w:space="0" w:sz="0" w:val="nil"/>
          <w:right w:space="0" w:sz="0" w:val="nil"/>
          <w:between w:space="0" w:sz="0" w:val="nil"/>
        </w:pBdr>
        <w:spacing w:after="0" w:before="12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MISURA GENERALE N. 3</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L’ente, con riferimento a dirigenti e funzionari, applica puntualmente la disciplina degli artt. 50, comma 10, 107 e 109 del TUEL e degli artt. 13 – 27 del d.lgs. 165/2001 e smi.  </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L’ente applica puntualmente le disposizioni del d.lgs. 39/2013 ed in particolare l'art. 20 rubricato: </w:t>
      </w:r>
      <w:r w:rsidDel="00000000" w:rsidR="00000000" w:rsidRPr="00000000">
        <w:rPr>
          <w:rFonts w:ascii="Arial" w:cs="Arial" w:eastAsia="Arial" w:hAnsi="Arial"/>
          <w:i w:val="1"/>
          <w:sz w:val="24"/>
          <w:szCs w:val="24"/>
          <w:rtl w:val="0"/>
        </w:rPr>
        <w:t xml:space="preserve">dichiarazione sulla insussistenza di cause di inconferibilità o incompatibilità</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La misura è attuata tempestivamente all’adozione di ogni atto.</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1">
      <w:pPr>
        <w:keepNext w:val="1"/>
        <w:widowControl w:val="0"/>
        <w:numPr>
          <w:ilvl w:val="1"/>
          <w:numId w:val="4"/>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Regole per la formazione delle commissioni e per l’assegnazione degli uffici   </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Secondo l’art. 35-</w:t>
      </w:r>
      <w:r w:rsidDel="00000000" w:rsidR="00000000" w:rsidRPr="00000000">
        <w:rPr>
          <w:rFonts w:ascii="Arial" w:cs="Arial" w:eastAsia="Arial" w:hAnsi="Arial"/>
          <w:i w:val="1"/>
          <w:color w:val="000000"/>
          <w:sz w:val="24"/>
          <w:szCs w:val="24"/>
          <w:rtl w:val="0"/>
        </w:rPr>
        <w:t xml:space="preserve">bis,</w:t>
      </w:r>
      <w:r w:rsidDel="00000000" w:rsidR="00000000" w:rsidRPr="00000000">
        <w:rPr>
          <w:rFonts w:ascii="Arial" w:cs="Arial" w:eastAsia="Arial" w:hAnsi="Arial"/>
          <w:color w:val="000000"/>
          <w:sz w:val="24"/>
          <w:szCs w:val="24"/>
          <w:rtl w:val="0"/>
        </w:rPr>
        <w:t xml:space="preserve"> del d.lgs. 165/2001 e smi, coloro che siano stati condannati, anche con sentenza non passata in giudicato, per i reati previsti nel Capo I del Titolo II del libro secondo del Codice penale:</w:t>
      </w:r>
    </w:p>
    <w:p w:rsidR="00000000" w:rsidDel="00000000" w:rsidP="00000000" w:rsidRDefault="00000000" w:rsidRPr="00000000" w14:paraId="000000E3">
      <w:pPr>
        <w:numPr>
          <w:ilvl w:val="0"/>
          <w:numId w:val="7"/>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non possano fare parte, anche con compiti di segreteria, di commissioni per l'accesso o la selezione a pubblici impieghi;</w:t>
      </w:r>
    </w:p>
    <w:p w:rsidR="00000000" w:rsidDel="00000000" w:rsidP="00000000" w:rsidRDefault="00000000" w:rsidRPr="00000000" w14:paraId="000000E4">
      <w:pPr>
        <w:numPr>
          <w:ilvl w:val="0"/>
          <w:numId w:val="7"/>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non possano essere assegnati, anche con funzioni direttive, agli uffici preposti alla gestione delle risorse finanziarie, all'acquisizione di beni, servizi e forniture, </w:t>
      </w:r>
    </w:p>
    <w:p w:rsidR="00000000" w:rsidDel="00000000" w:rsidP="00000000" w:rsidRDefault="00000000" w:rsidRPr="00000000" w14:paraId="000000E5">
      <w:pPr>
        <w:numPr>
          <w:ilvl w:val="0"/>
          <w:numId w:val="7"/>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non possano essere assegnati, anche con funzioni direttive, agli uffici preposti alla concessione o all'erogazione di sovvenzioni, contributi, sussidi, ausili finanziari o attribuzioni di vantaggi economici a soggetti pubblici e privati;</w:t>
      </w:r>
    </w:p>
    <w:p w:rsidR="00000000" w:rsidDel="00000000" w:rsidP="00000000" w:rsidRDefault="00000000" w:rsidRPr="00000000" w14:paraId="000000E6">
      <w:pPr>
        <w:numPr>
          <w:ilvl w:val="0"/>
          <w:numId w:val="7"/>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non possano fare parte delle commissioni per la scelta del contraente per l'affidamento di lavori, forniture e servizi, per la concessione o l'erogazione di sovvenzioni, contributi, sussidi, ausili finanziari, nonché per l'attribuzione di vantaggi economici di qualunque genere.</w:t>
      </w:r>
    </w:p>
    <w:p w:rsidR="00000000" w:rsidDel="00000000" w:rsidP="00000000" w:rsidRDefault="00000000" w:rsidRPr="00000000" w14:paraId="000000E7">
      <w:pPr>
        <w:spacing w:after="24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8">
      <w:pPr>
        <w:spacing w:after="24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Non esiste un regolamento per il conferimento degli incarichi di commissari di pubblico concorso o per la nomina delle commissioni giudicatrici, ma il RPCT verifica preventivamente l’assenza di cause ostative a carico dei componenti delle predette commissioni.</w:t>
      </w:r>
    </w:p>
    <w:p w:rsidR="00000000" w:rsidDel="00000000" w:rsidP="00000000" w:rsidRDefault="00000000" w:rsidRPr="00000000" w14:paraId="000000E9">
      <w:pPr>
        <w:spacing w:after="24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 modalità di conferimento degli incarichi dirigenziali e di posizione organizzativa sono definite dal Regolamento di organizzazione degli uffici e dei servizi, approvato con Delibera di G.C. n. 40 del 15.5.2021</w:t>
      </w:r>
    </w:p>
    <w:p w:rsidR="00000000" w:rsidDel="00000000" w:rsidP="00000000" w:rsidRDefault="00000000" w:rsidRPr="00000000" w14:paraId="000000EA">
      <w:pPr>
        <w:spacing w:after="24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requisiti richiesti dal Regolamento sono conformi a quanto dettato dall’art. 35-bis del d.lgs. 165/2001 e smi. </w:t>
      </w:r>
    </w:p>
    <w:p w:rsidR="00000000" w:rsidDel="00000000" w:rsidP="00000000" w:rsidRDefault="00000000" w:rsidRPr="00000000" w14:paraId="000000EB">
      <w:pPr>
        <w:keepNext w:val="1"/>
        <w:widowControl w:val="0"/>
        <w:pBdr>
          <w:top w:space="0" w:sz="0" w:val="nil"/>
          <w:left w:space="0" w:sz="0" w:val="nil"/>
          <w:bottom w:space="0" w:sz="0" w:val="nil"/>
          <w:right w:space="0" w:sz="0" w:val="nil"/>
          <w:between w:space="0" w:sz="0" w:val="nil"/>
        </w:pBdr>
        <w:spacing w:after="0" w:before="12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MISURA GENERALE N. 4/b: </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soggetti incaricati di funzioni dirigenziali e di posizione organizzativa che comportano la direzione ed il governo di uffici o servizi, all’atto della designazione, devono rendere, ai sensi del DPR 445/2000, una dichiarazione di insussistenza delle condizioni di incompatibilità previste dall’ordinamento. </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componenti delle commissioni esaminatrici di pubblici concorsi o giudicatrici di gare rendono la dichiarazione dell’insussistenza di cause di conlfitto di interesse e di incompatibilità o di inconferibilità dell’incarico. </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L’ente verifica la veridicità di tutte le suddette dichiarazioni. </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misura è già applicata </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i w:val="1"/>
          <w:color w:val="ff0000"/>
          <w:sz w:val="24"/>
          <w:szCs w:val="24"/>
        </w:rPr>
      </w:pPr>
      <w:r w:rsidDel="00000000" w:rsidR="00000000" w:rsidRPr="00000000">
        <w:rPr>
          <w:rtl w:val="0"/>
        </w:rPr>
      </w:r>
    </w:p>
    <w:p w:rsidR="00000000" w:rsidDel="00000000" w:rsidP="00000000" w:rsidRDefault="00000000" w:rsidRPr="00000000" w14:paraId="000000F2">
      <w:pPr>
        <w:keepNext w:val="1"/>
        <w:widowControl w:val="0"/>
        <w:numPr>
          <w:ilvl w:val="1"/>
          <w:numId w:val="4"/>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Incarichi extraistituzionali </w:t>
      </w:r>
    </w:p>
    <w:p w:rsidR="00000000" w:rsidDel="00000000" w:rsidP="00000000" w:rsidRDefault="00000000" w:rsidRPr="00000000" w14:paraId="000000F3">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L’amministrazione ha approvato la disciplina di cui all’art. 53, co. 3-bis, del d.lgs. 165/2001 e smi, in merito agli incarichi vietati e ai criteri per il conferimento o l’autorizzazione allo svolgimento di incarichi extra istituzionali, con deliberazione di G.C. N. 60  del 15.7.2017 . </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MISURA GENERALE N. 5: </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procedura di autorizzazione degli incarichi extraistituzionali del personale dipendente è normata dal provvedimento organizzativo di cui sopra. L’ente applica con puntualità la suddetta procedura.  </w:t>
      </w:r>
    </w:p>
    <w:p w:rsidR="00000000" w:rsidDel="00000000" w:rsidP="00000000" w:rsidRDefault="00000000" w:rsidRPr="00000000" w14:paraId="000000F6">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 integrazione della suddetta procedura, l’autorizzazione è rilasciata previo nulla osta del RPCT.</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misura è già applicata.</w:t>
      </w:r>
    </w:p>
    <w:p w:rsidR="00000000" w:rsidDel="00000000" w:rsidP="00000000" w:rsidRDefault="00000000" w:rsidRPr="00000000" w14:paraId="000000F8">
      <w:pPr>
        <w:spacing w:after="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keepNext w:val="1"/>
        <w:widowControl w:val="0"/>
        <w:numPr>
          <w:ilvl w:val="1"/>
          <w:numId w:val="4"/>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Divieto di svolgere attività incompatibili a seguito della cessazione del rapporto di lavoro (pantouflage)</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L'art. 53, comma 16-ter, del d.lgs. 165/2001 e smi vieta ai dipendenti che, negli ultimi tre anni di servizio, abbiano esercitato poteri autoritativi o negoziali per conto delle pubbliche amministrazioni, di svolgere, nei tre anni successivi alla cessazione del rapporto di pubblico impiego, attività lavorativa o professionale presso i privati destinatari dell'attività della pubblica amministrazione svolta attraverso i medesimi poteri. </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Eventuali contratti conclusi e gli incarichi conferiti in violazione del divieto sono nulli. </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È fatto divieto ai soggetti privati che li hanno conclusi o conferiti di contrattare con le pubbliche amministrazioni per i successivi tre anni, con obbligo di restituzione dei compensi eventualmente percepiti e accertati ad essi riferiti.</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MISURA GENERALE N. 6: </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Ogni contraente e appaltatore dell’ente, all’atto della stipulazione del contratto deve rendere una dichiarazione, ai sensi del DPR 445/2000, circa l’inesistenza di contratti di lavoro o rapporti di collaborazione vietati a norma del comma 16-ter del d.lgs. 165/2001 e smi. </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L’ente verifica la veridicità di tutte le suddette dichiarazioni. </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misura è già applicata </w:t>
      </w:r>
    </w:p>
    <w:p w:rsidR="00000000" w:rsidDel="00000000" w:rsidP="00000000" w:rsidRDefault="00000000" w:rsidRPr="00000000" w14:paraId="00000102">
      <w:pPr>
        <w:keepNext w:val="1"/>
        <w:widowControl w:val="0"/>
        <w:pBdr>
          <w:top w:space="0" w:sz="0" w:val="nil"/>
          <w:left w:space="0" w:sz="0" w:val="nil"/>
          <w:bottom w:space="0" w:sz="0" w:val="nil"/>
          <w:right w:space="0" w:sz="0" w:val="nil"/>
          <w:between w:space="0" w:sz="0" w:val="nil"/>
        </w:pBdr>
        <w:spacing w:after="0" w:before="12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3">
      <w:pPr>
        <w:keepNext w:val="1"/>
        <w:widowControl w:val="0"/>
        <w:numPr>
          <w:ilvl w:val="1"/>
          <w:numId w:val="4"/>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La formazione in tema di anticorruzione</w:t>
      </w:r>
    </w:p>
    <w:p w:rsidR="00000000" w:rsidDel="00000000" w:rsidP="00000000" w:rsidRDefault="00000000" w:rsidRPr="00000000" w14:paraId="00000104">
      <w:pPr>
        <w:spacing w:after="0" w:before="120" w:line="240" w:lineRule="auto"/>
        <w:jc w:val="both"/>
        <w:rPr>
          <w:rFonts w:ascii="Arial" w:cs="Arial" w:eastAsia="Arial" w:hAnsi="Arial"/>
          <w:color w:val="000000"/>
          <w:sz w:val="24"/>
          <w:szCs w:val="24"/>
        </w:rPr>
      </w:pPr>
      <w:bookmarkStart w:colFirst="0" w:colLast="0" w:name="_heading=h.19c6y18" w:id="7"/>
      <w:bookmarkEnd w:id="7"/>
      <w:r w:rsidDel="00000000" w:rsidR="00000000" w:rsidRPr="00000000">
        <w:rPr>
          <w:rFonts w:ascii="Arial" w:cs="Arial" w:eastAsia="Arial" w:hAnsi="Arial"/>
          <w:color w:val="000000"/>
          <w:sz w:val="24"/>
          <w:szCs w:val="24"/>
          <w:rtl w:val="0"/>
        </w:rPr>
        <w:t xml:space="preserve">Il comma 8, art. 1, della legge 190/2012, stabilisce che il RPCT definisca procedure appropriate per selezionare e formare i dipendenti destinati ad operare in settori particolarmente esposti alla corruzione. </w:t>
      </w:r>
    </w:p>
    <w:p w:rsidR="00000000" w:rsidDel="00000000" w:rsidP="00000000" w:rsidRDefault="00000000" w:rsidRPr="00000000" w14:paraId="00000105">
      <w:pP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formazione è rivolta alla generalità dei dipendenti e mira all’aggiornamento delle competenze/comportamenti in materia di etica e della legalità;</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MISURA GENERALE N. 7:</w:t>
      </w:r>
    </w:p>
    <w:p w:rsidR="00000000" w:rsidDel="00000000" w:rsidP="00000000" w:rsidRDefault="00000000" w:rsidRPr="00000000" w14:paraId="00000108">
      <w:pPr>
        <w:spacing w:after="24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demanda al RPCT il compito di individuare, i contenuti della formazione che viene erogata annualmente, anche direttamente dal RPCT.</w:t>
      </w:r>
    </w:p>
    <w:p w:rsidR="00000000" w:rsidDel="00000000" w:rsidP="00000000" w:rsidRDefault="00000000" w:rsidRPr="00000000" w14:paraId="00000109">
      <w:pPr>
        <w:spacing w:after="240" w:before="12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Il procedimento è già attuato con la somministrazione della formazione ai dipendenti selezionati annualmente. </w:t>
      </w:r>
      <w:r w:rsidDel="00000000" w:rsidR="00000000" w:rsidRPr="00000000">
        <w:rPr>
          <w:rtl w:val="0"/>
        </w:rPr>
      </w:r>
    </w:p>
    <w:p w:rsidR="00000000" w:rsidDel="00000000" w:rsidP="00000000" w:rsidRDefault="00000000" w:rsidRPr="00000000" w14:paraId="0000010A">
      <w:pPr>
        <w:keepNext w:val="1"/>
        <w:widowControl w:val="0"/>
        <w:numPr>
          <w:ilvl w:val="1"/>
          <w:numId w:val="4"/>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La rotazione del personale  </w: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rotazione del personale può essere classificata in ordinaria e straordinaria. </w:t>
      </w:r>
    </w:p>
    <w:p w:rsidR="00000000" w:rsidDel="00000000" w:rsidP="00000000" w:rsidRDefault="00000000" w:rsidRPr="00000000" w14:paraId="0000010C">
      <w:pPr>
        <w:spacing w:after="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Rotazione ordinaria</w:t>
      </w:r>
      <w:r w:rsidDel="00000000" w:rsidR="00000000" w:rsidRPr="00000000">
        <w:rPr>
          <w:rFonts w:ascii="Arial" w:cs="Arial" w:eastAsia="Arial" w:hAnsi="Arial"/>
          <w:sz w:val="24"/>
          <w:szCs w:val="24"/>
          <w:rtl w:val="0"/>
        </w:rPr>
        <w:t xml:space="preserve">: la rotazione c.d. “ordinaria” del personale addetto alle aree a più elevato rischio di corruzione rappresenta una misura di importanza cruciale tra gli strumenti di prevenzione della corruzione, sebbene debba essere contemperata con il buon andamento, l’efficienza e la continuità dell’azione amministrativa. </w:t>
      </w:r>
    </w:p>
    <w:p w:rsidR="00000000" w:rsidDel="00000000" w:rsidP="00000000" w:rsidRDefault="00000000" w:rsidRPr="00000000" w14:paraId="0000010D">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l’art. 1, comma 10 lett. b), della legge 190/2012 impone al RPCT di provvedere alla verifica, d'intesa con il dirigente competente, dell'effettiva rotazione degli incarichi negli uffici preposti allo svolgimento delle attività nel cui ambito è più elevato il rischio che siano commessi reati di corruzione.</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before="120" w:line="240" w:lineRule="auto"/>
        <w:rPr>
          <w:rFonts w:ascii="Arial" w:cs="Arial" w:eastAsia="Arial" w:hAnsi="Arial"/>
          <w:i w:val="1"/>
          <w:color w:val="ff0000"/>
          <w:sz w:val="24"/>
          <w:szCs w:val="24"/>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MISURA GENERALE N. 8/a:</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dotazione organica dell’ente è assai limitata e non consente, di fatto, l’applicazione concreta del criterio della rotazione. </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Non esistono figure professionali perfettamente fungibili. </w:t>
      </w:r>
    </w:p>
    <w:p w:rsidR="00000000" w:rsidDel="00000000" w:rsidP="00000000" w:rsidRDefault="00000000" w:rsidRPr="00000000" w14:paraId="00000112">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legge di stabilità per il 2016 (legge 208/2015), al comma 221, prevede quanto segue: “(…) </w:t>
      </w:r>
      <w:r w:rsidDel="00000000" w:rsidR="00000000" w:rsidRPr="00000000">
        <w:rPr>
          <w:rFonts w:ascii="Arial" w:cs="Arial" w:eastAsia="Arial" w:hAnsi="Arial"/>
          <w:i w:val="1"/>
          <w:sz w:val="24"/>
          <w:szCs w:val="24"/>
          <w:rtl w:val="0"/>
        </w:rPr>
        <w:t xml:space="preserve">non trovano applicazione le disposizioni adottate ai sensi dell'art. 1 comma 5 della legge 190/2012, ove la dimensione dell'ente risulti incompatibile con la rotazione dell'incarico dirigenziale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13">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sostanza, la legge consente di evitare la rotazione dei dirigenti/funzionari negli enti dove ciò non sia possibile per </w:t>
      </w:r>
      <w:r w:rsidDel="00000000" w:rsidR="00000000" w:rsidRPr="00000000">
        <w:rPr>
          <w:rFonts w:ascii="Arial" w:cs="Arial" w:eastAsia="Arial" w:hAnsi="Arial"/>
          <w:i w:val="1"/>
          <w:sz w:val="24"/>
          <w:szCs w:val="24"/>
          <w:rtl w:val="0"/>
        </w:rPr>
        <w:t xml:space="preserve">sostanziale infungibilità</w:t>
      </w:r>
      <w:r w:rsidDel="00000000" w:rsidR="00000000" w:rsidRPr="00000000">
        <w:rPr>
          <w:rFonts w:ascii="Arial" w:cs="Arial" w:eastAsia="Arial" w:hAnsi="Arial"/>
          <w:sz w:val="24"/>
          <w:szCs w:val="24"/>
          <w:rtl w:val="0"/>
        </w:rPr>
        <w:t xml:space="preserve"> delle figure presenti in dotazione organica. </w:t>
      </w:r>
    </w:p>
    <w:p w:rsidR="00000000" w:rsidDel="00000000" w:rsidP="00000000" w:rsidRDefault="00000000" w:rsidRPr="00000000" w14:paraId="00000114">
      <w:pPr>
        <w:spacing w:after="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5">
      <w:pPr>
        <w:spacing w:after="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Rotazione straordinaria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è prevista dall’art. 16 del d.lgs. 165/2001 e smi per i dipendenti nei confronti dei quali siano avviati procedimenti penali o disciplinari per condotte di natura corruttiva. </w:t>
      </w:r>
    </w:p>
    <w:p w:rsidR="00000000" w:rsidDel="00000000" w:rsidP="00000000" w:rsidRDefault="00000000" w:rsidRPr="00000000" w14:paraId="00000116">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L’ANAC ha formulato le “Linee guida in materia di applicazione della misura della rotazione straordinaria” (deliberazione n. 215 del 26/3/2019). </w:t>
      </w:r>
    </w:p>
    <w:p w:rsidR="00000000" w:rsidDel="00000000" w:rsidP="00000000" w:rsidRDefault="00000000" w:rsidRPr="00000000" w14:paraId="00000117">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Secondo l’Autorità, “non appena venuta a conoscenza dell’avvio del procedimento penale, l’amministrazione, nei casi di obbligatorietà, adotta il provvedimento” (deliberazione 215/2019, Paragrafo 3.4, pag. 18).</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0" w:before="120" w:line="240" w:lineRule="auto"/>
        <w:rPr>
          <w:rFonts w:ascii="Arial" w:cs="Arial" w:eastAsia="Arial" w:hAnsi="Arial"/>
          <w:i w:val="1"/>
          <w:color w:val="ff0000"/>
          <w:sz w:val="24"/>
          <w:szCs w:val="24"/>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MISURA GENERALE N. 8/b:</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Sono applicate le disposizioni previste dalle “Linee guida in materia di applicazione della misura della rotazione straordinaria” (deliberazione ANAC n. 215 del 26/3/2019). </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Non sono stati ad oggi riscontrati casi.</w:t>
      </w:r>
    </w:p>
    <w:p w:rsidR="00000000" w:rsidDel="00000000" w:rsidP="00000000" w:rsidRDefault="00000000" w:rsidRPr="00000000" w14:paraId="0000011C">
      <w:pPr>
        <w:spacing w:after="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D">
      <w:pPr>
        <w:keepNext w:val="1"/>
        <w:widowControl w:val="0"/>
        <w:numPr>
          <w:ilvl w:val="1"/>
          <w:numId w:val="4"/>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Misure per la tutela del dipendente che segnali illeciti (whistleblower)</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L’art. 54-bis del d.lgs. 165/2001 e smi, riscritto dalla legge 179/2017, stabilisce che il pubblico dipendente che, nell'interesse dell'integrità della pubblica amministrazione, segnali condotte illecite di cui è venuto a conoscenza in ragione del proprio rapporto di lavoro non possa essere sanzionato, demansionato, licenziato, trasferito, o sottoposto ad altra misura organizzativa avente effetti negativi, diretti o indiretti, sulle condizioni di lavoro determinata dalla segnalazione. Tutte le amministrazioni pubbliche sono tenute ad applicare l’articolo 54-bis. </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segnalazione dell’illecito può essere inoltrata: in primo luogo, al RPCT; quindi, in alternativa all’ANAC, all’Autorità giudiziaria, alla Corte dei conti. </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segnalazione è sempre sottratta all'accesso documentale, di tipo tradizionale, normato dalla legge 241/1990. La denuncia deve ritenersi anche sottratta all’applicazione dell’istituto dell’accesso civico generalizzato, di cui agli articoli 5 e 5-bis del d.lgs. 33/2013. L’accesso, di qualunque tipo esso sia, non può essere riconosciuto poiché l'identità del segnalante non può, e non deve, essere rivelata. </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L’art. 54-bis accorda al whistleblower le seguenti garanzie: la tutela dell'anonimato; il divieto di discriminazione</w:t>
      </w:r>
      <w:r w:rsidDel="00000000" w:rsidR="00000000" w:rsidRPr="00000000">
        <w:rPr>
          <w:rFonts w:ascii="Arial" w:cs="Arial" w:eastAsia="Arial" w:hAnsi="Arial"/>
          <w:i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la previsione che la denuncia sia sottratta all’accesso. </w:t>
      </w:r>
    </w:p>
    <w:p w:rsidR="00000000" w:rsidDel="00000000" w:rsidP="00000000" w:rsidRDefault="00000000" w:rsidRPr="00000000" w14:paraId="00000122">
      <w:pPr>
        <w:shd w:fill="ffffff" w:val="clear"/>
        <w:spacing w:after="0" w:line="24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L’RPCT ha programmato per l’anno in corso l’adeguamento alle prescrizioni del D.Lgs.24/2023.</w:t>
      </w:r>
    </w:p>
    <w:p w:rsidR="00000000" w:rsidDel="00000000" w:rsidP="00000000" w:rsidRDefault="00000000" w:rsidRPr="00000000" w14:paraId="00000123">
      <w:pPr>
        <w:shd w:fill="ffffff" w:val="clear"/>
        <w:spacing w:after="0" w:line="24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In base al Decreto è obbligatorio dotarsi di un sistema di segnalazione interno che può essere orale o scritto, anche mediante l'adesione alla piattaforma 'whistleblowingPA', indicata dall'ANAC e gratuita.</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b w:val="1"/>
          <w:color w:val="ff0000"/>
          <w:sz w:val="24"/>
          <w:szCs w:val="24"/>
          <w:u w:val="single"/>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MISURA GENERALE N. 9: </w:t>
      </w:r>
    </w:p>
    <w:p w:rsidR="00000000" w:rsidDel="00000000" w:rsidP="00000000" w:rsidRDefault="00000000" w:rsidRPr="00000000" w14:paraId="00000126">
      <w:pPr>
        <w:spacing w:after="240" w:before="120" w:line="24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Attualmente è possibile inoltrare le segnalazioni  tramite l’apposita pagina web di ANAC</w:t>
      </w:r>
      <w:hyperlink r:id="rId9">
        <w:r w:rsidDel="00000000" w:rsidR="00000000" w:rsidRPr="00000000">
          <w:rPr>
            <w:rFonts w:ascii="Arial" w:cs="Arial" w:eastAsia="Arial" w:hAnsi="Arial"/>
            <w:color w:val="222222"/>
            <w:sz w:val="24"/>
            <w:szCs w:val="24"/>
            <w:rtl w:val="0"/>
          </w:rPr>
          <w:t xml:space="preserve"> https://servizi.anticorruzione.it/segnalazioni/#</w:t>
        </w:r>
      </w:hyperlink>
      <w:r w:rsidDel="00000000" w:rsidR="00000000" w:rsidRPr="00000000">
        <w:rPr>
          <w:rFonts w:ascii="Arial" w:cs="Arial" w:eastAsia="Arial" w:hAnsi="Arial"/>
          <w:color w:val="222222"/>
          <w:sz w:val="24"/>
          <w:szCs w:val="24"/>
          <w:rtl w:val="0"/>
        </w:rPr>
        <w:t xml:space="preserve">/ che consente l’inoltro e la gestione di segnalazioni in maniera del tutto anonima.</w:t>
      </w:r>
    </w:p>
    <w:p w:rsidR="00000000" w:rsidDel="00000000" w:rsidP="00000000" w:rsidRDefault="00000000" w:rsidRPr="00000000" w14:paraId="00000127">
      <w:pPr>
        <w:shd w:fill="ffffff" w:val="clear"/>
        <w:spacing w:after="0" w:line="24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Si programma di istituire nei primi sei mesi dell’anno, il canale interno delle segnalazioni per la protezione delle persone che segnalano violazioni delle disposizioni normative nazionali, con le seguenti modalità:</w:t>
      </w:r>
    </w:p>
    <w:p w:rsidR="00000000" w:rsidDel="00000000" w:rsidP="00000000" w:rsidRDefault="00000000" w:rsidRPr="00000000" w14:paraId="00000128">
      <w:pPr>
        <w:shd w:fill="ffffff" w:val="clear"/>
        <w:spacing w:after="0" w:line="24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 Segnalazioni scritte - Il segnalante dovrà utilizzare il portale Whistleblowing PA;</w:t>
      </w:r>
    </w:p>
    <w:p w:rsidR="00000000" w:rsidDel="00000000" w:rsidP="00000000" w:rsidRDefault="00000000" w:rsidRPr="00000000" w14:paraId="00000129">
      <w:pPr>
        <w:shd w:fill="ffffff" w:val="clear"/>
        <w:spacing w:after="0" w:line="24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b. Segnalazioni orali - tramite richiesta di incontro direttamente e personalmente al RPCT nei giorni di presenza;</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2B">
      <w:pPr>
        <w:keepNext w:val="1"/>
        <w:widowControl w:val="0"/>
        <w:numPr>
          <w:ilvl w:val="1"/>
          <w:numId w:val="4"/>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Altre misure generali - Contratti pubblici</w:t>
      </w:r>
    </w:p>
    <w:p w:rsidR="00000000" w:rsidDel="00000000" w:rsidP="00000000" w:rsidRDefault="00000000" w:rsidRPr="00000000" w14:paraId="0000012C">
      <w:pPr>
        <w:keepNext w:val="1"/>
        <w:widowControl w:val="0"/>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La disciplina in materia è stata innovata dal d.lgs. 31 marzo 2023, n. 36 entrato in vigore il 1 luglio 2023. </w:t>
      </w:r>
    </w:p>
    <w:p w:rsidR="00000000" w:rsidDel="00000000" w:rsidP="00000000" w:rsidRDefault="00000000" w:rsidRPr="00000000" w14:paraId="0000012D">
      <w:pPr>
        <w:keepNext w:val="1"/>
        <w:widowControl w:val="0"/>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L’assetto normativo in essere dopo il 1° luglio 2023 determina pertanto la seguente tripartizione: </w:t>
      </w:r>
    </w:p>
    <w:p w:rsidR="00000000" w:rsidDel="00000000" w:rsidP="00000000" w:rsidRDefault="00000000" w:rsidRPr="00000000" w14:paraId="0000012E">
      <w:pPr>
        <w:keepNext w:val="1"/>
        <w:widowControl w:val="0"/>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 procedure di affidamento avviate entro la data del 30 giugno 2023, c.d. “procedimenti in corso”, disciplinate dal vecchio Codice (art. 226, comma 2, d.lgs. 36/2023); </w:t>
      </w:r>
    </w:p>
    <w:p w:rsidR="00000000" w:rsidDel="00000000" w:rsidP="00000000" w:rsidRDefault="00000000" w:rsidRPr="00000000" w14:paraId="0000012F">
      <w:pPr>
        <w:keepNext w:val="1"/>
        <w:widowControl w:val="0"/>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b) procedure di affidamento avviate dal 1°luglio 2023 in poi, disciplinate dal nuovo Codice;</w:t>
      </w:r>
    </w:p>
    <w:p w:rsidR="00000000" w:rsidDel="00000000" w:rsidP="00000000" w:rsidRDefault="00000000" w:rsidRPr="00000000" w14:paraId="00000130">
      <w:pPr>
        <w:keepNext w:val="1"/>
        <w:widowControl w:val="0"/>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c) procedure di affidamento relative a interventi PNRR/PNC, disciplinati, anche dopo il 1° luglio 2023, dalle norme speciali riguardanti tali interventi contenute nel d.l. 77/2021 e ss.mm.ii. e dal nuovo Codice per quanto non regolato dalla disciplina speciale.</w:t>
      </w:r>
    </w:p>
    <w:p w:rsidR="00000000" w:rsidDel="00000000" w:rsidP="00000000" w:rsidRDefault="00000000" w:rsidRPr="00000000" w14:paraId="00000131">
      <w:pPr>
        <w:keepNext w:val="1"/>
        <w:widowControl w:val="0"/>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Il nuovo Codice enuncia inoltre il valore funzionale della concorrenza e della trasparenza, come mezzo per la massimizzazione dell’accesso al mercato e il raggiungimento del più efficiente risultato nell’affidamento e nell’esecuzione dei contratti pubblici</w:t>
      </w:r>
    </w:p>
    <w:p w:rsidR="00000000" w:rsidDel="00000000" w:rsidP="00000000" w:rsidRDefault="00000000" w:rsidRPr="00000000" w14:paraId="00000132">
      <w:pPr>
        <w:keepNext w:val="1"/>
        <w:widowControl w:val="0"/>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LANAC fornisce le seguenti indicazioni in ordine all’applicabilità alla materia dei contratti pubblici, della parte speciale del PNA 2022 e dell’aggiornamento 2023:</w:t>
      </w:r>
    </w:p>
    <w:p w:rsidR="00000000" w:rsidDel="00000000" w:rsidP="00000000" w:rsidRDefault="00000000" w:rsidRPr="00000000" w14:paraId="00000133">
      <w:pPr>
        <w:keepNext w:val="1"/>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si applica il PNA 2022 a tutti i contratti con bandi e avvisi pubblicati prima del 1° luglio 2023, ivi inclusi i contratti PNRR;</w:t>
      </w:r>
    </w:p>
    <w:p w:rsidR="00000000" w:rsidDel="00000000" w:rsidP="00000000" w:rsidRDefault="00000000" w:rsidRPr="00000000" w14:paraId="00000134">
      <w:pPr>
        <w:keepNext w:val="1"/>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si applica il PNA 2022 ai contratti con bandi e avvisi pubblicati dal 1° luglio 2023 al 31 dicembre 2023, limitatamente alle specifiche disposizioni di cui alle norme transitorie e di coordinamento previste dalla parte III del nuovo Codice (da art. 224 a 229);</w:t>
      </w:r>
    </w:p>
    <w:p w:rsidR="00000000" w:rsidDel="00000000" w:rsidP="00000000" w:rsidRDefault="00000000" w:rsidRPr="00000000" w14:paraId="00000135">
      <w:pPr>
        <w:keepNext w:val="1"/>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si applica il PNA 2022 ai contratti PNRR con bandi e avvisi pubblicati dal 1° luglio 2023, con l’eccezione degli istituti non regolati dal d.l. n. 77/2021 e normati dal nuovo Codice (ad esempio, la digitalizzazione del ciclo di vita dei contratti), per i quali si applica il presente Aggiornamento 2023;</w:t>
      </w:r>
    </w:p>
    <w:p w:rsidR="00000000" w:rsidDel="00000000" w:rsidP="00000000" w:rsidRDefault="00000000" w:rsidRPr="00000000" w14:paraId="00000136">
      <w:pPr>
        <w:keepNext w:val="1"/>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si applica l’Aggiornamento 2023 ai contratti con bandi e avvisi pubblicati dal 1° luglio 2023, tranne quelli di cui ai precedenti punti 2 e 3.</w:t>
      </w:r>
    </w:p>
    <w:p w:rsidR="00000000" w:rsidDel="00000000" w:rsidP="00000000" w:rsidRDefault="00000000" w:rsidRPr="00000000" w14:paraId="00000137">
      <w:pPr>
        <w:keepNext w:val="1"/>
        <w:widowControl w:val="0"/>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L’Autorità fornisce al § 5 del PNA – aggiornamento 2023 puntuali indicazioni sui diversi regimi di trasparenza da attuare, in base alla data di pubblicazione del bando/avviso e dello stato dell’esecuzione del contratto alla data del 31.12.2023</w:t>
      </w:r>
    </w:p>
    <w:p w:rsidR="00000000" w:rsidDel="00000000" w:rsidP="00000000" w:rsidRDefault="00000000" w:rsidRPr="00000000" w14:paraId="00000138">
      <w:pPr>
        <w:keepNext w:val="1"/>
        <w:widowControl w:val="0"/>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39">
      <w:pPr>
        <w:keepNext w:val="1"/>
        <w:widowControl w:val="0"/>
        <w:numPr>
          <w:ilvl w:val="1"/>
          <w:numId w:val="9"/>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222222"/>
          <w:sz w:val="24"/>
          <w:szCs w:val="24"/>
        </w:rPr>
      </w:pPr>
      <w:bookmarkStart w:colFirst="0" w:colLast="0" w:name="_heading=h.1mrcu09" w:id="8"/>
      <w:bookmarkEnd w:id="8"/>
      <w:r w:rsidDel="00000000" w:rsidR="00000000" w:rsidRPr="00000000">
        <w:rPr>
          <w:rFonts w:ascii="Arial" w:cs="Arial" w:eastAsia="Arial" w:hAnsi="Arial"/>
          <w:b w:val="1"/>
          <w:color w:val="222222"/>
          <w:sz w:val="24"/>
          <w:szCs w:val="24"/>
          <w:rtl w:val="0"/>
        </w:rPr>
        <w:t xml:space="preserve">MISURE GENERALI N. 10: </w:t>
      </w:r>
    </w:p>
    <w:p w:rsidR="00000000" w:rsidDel="00000000" w:rsidP="00000000" w:rsidRDefault="00000000" w:rsidRPr="00000000" w14:paraId="0000013A">
      <w:pPr>
        <w:keepNext w:val="1"/>
        <w:widowControl w:val="0"/>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il processo di digitalizzazione è la chiave di volta ai fini della prevenzione della corruzione consentendo, da un lato, di assicurare efficacia, efficienza e rispetto delle regole6 e, dall’altro, costituisce misura di prevenzione della corruzione volta a garantire trasparenza, tracciabilità, partecipazione e controllo di tutte le attività.</w:t>
      </w:r>
    </w:p>
    <w:p w:rsidR="00000000" w:rsidDel="00000000" w:rsidP="00000000" w:rsidRDefault="00000000" w:rsidRPr="00000000" w14:paraId="0000013B">
      <w:pPr>
        <w:keepNext w:val="1"/>
        <w:widowControl w:val="0"/>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Per le ulteriori e più particolari misure si rinvia all’ “allegato C- misure”</w:t>
      </w:r>
    </w:p>
    <w:p w:rsidR="00000000" w:rsidDel="00000000" w:rsidP="00000000" w:rsidRDefault="00000000" w:rsidRPr="00000000" w14:paraId="0000013C">
      <w:pPr>
        <w:keepNext w:val="1"/>
        <w:widowControl w:val="0"/>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13D">
      <w:pPr>
        <w:keepNext w:val="1"/>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222222"/>
          <w:sz w:val="24"/>
          <w:szCs w:val="24"/>
          <w:u w:val="none"/>
          <w:shd w:fill="auto" w:val="clear"/>
          <w:vertAlign w:val="baseline"/>
        </w:rPr>
      </w:pPr>
      <w:r w:rsidDel="00000000" w:rsidR="00000000" w:rsidRPr="00000000">
        <w:rPr>
          <w:rFonts w:ascii="Arial" w:cs="Arial" w:eastAsia="Arial" w:hAnsi="Arial"/>
          <w:b w:val="1"/>
          <w:i w:val="0"/>
          <w:smallCaps w:val="0"/>
          <w:strike w:val="0"/>
          <w:color w:val="222222"/>
          <w:sz w:val="24"/>
          <w:szCs w:val="24"/>
          <w:u w:val="none"/>
          <w:shd w:fill="auto" w:val="clear"/>
          <w:vertAlign w:val="baseline"/>
          <w:rtl w:val="0"/>
        </w:rPr>
        <w:t xml:space="preserve">Patti di Integrità e Protocolli di legalità </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222222"/>
          <w:sz w:val="24"/>
          <w:szCs w:val="24"/>
          <w:rtl w:val="0"/>
        </w:rPr>
        <w:t xml:space="preserve">Patti d'integrità e Protocolli di legalità recano un complesso di condizioni la</w:t>
      </w:r>
      <w:r w:rsidDel="00000000" w:rsidR="00000000" w:rsidRPr="00000000">
        <w:rPr>
          <w:rFonts w:ascii="Arial" w:cs="Arial" w:eastAsia="Arial" w:hAnsi="Arial"/>
          <w:color w:val="000000"/>
          <w:sz w:val="24"/>
          <w:szCs w:val="24"/>
          <w:rtl w:val="0"/>
        </w:rPr>
        <w:t xml:space="preserve"> cui accettazione è presupposto necessario per la partecipazione ad una gara di appalto. </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Il patto di integrità è un documento che la stazione appaltante richiede ai partecipanti alle gare. Permette un controllo reciproco e sanzioni per il caso in cui qualcuno dei partecipanti cerchi di eluderlo. Si tratta quindi di un complesso di “regole di comportamento” finalizzate alla prevenzione del fenomeno corruttivo e volte a valorizzare comportamenti eticamente adeguati per tutti i concorrenti.</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Il comma 17 dell’art. 1 della legge 190/2012 e smi che stabilisce che le stazioni appaltanti possano prevedere “negli avvisi, bandi di gara o lettere di invito che il mancato rispetto delle clausole contenute nei protocolli di legalità o nei patti di integrità [costituisca] causa di esclusione dalla gara”.</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MISURA GENERALE N. 11: </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L’ente ha approvato il proprio schema di “Patto d'integrità” congiuntamente al PTPCT 2020-2021, quale allegato del piano stesso (</w:t>
      </w:r>
      <w:r w:rsidDel="00000000" w:rsidR="00000000" w:rsidRPr="00000000">
        <w:rPr>
          <w:rFonts w:ascii="Arial" w:cs="Arial" w:eastAsia="Arial" w:hAnsi="Arial"/>
          <w:b w:val="1"/>
          <w:sz w:val="24"/>
          <w:szCs w:val="24"/>
          <w:u w:val="single"/>
          <w:rtl w:val="0"/>
        </w:rPr>
        <w:t xml:space="preserve">Allegato E del PTPCT 2020-2021</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sottoscrizione del Patto d’integrità è stata imposta, in sede di gara, ai concorrenti delle procedure d’appalto di lavori, servizi e forniture. Il Patto di integrità viene allegato, quale parte integrante, al Contratto d’appalto. </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 completezza, sempre in allegato, si riporta il testo del suddetto Patto di integrità (</w:t>
      </w:r>
      <w:r w:rsidDel="00000000" w:rsidR="00000000" w:rsidRPr="00000000">
        <w:rPr>
          <w:rFonts w:ascii="Arial" w:cs="Arial" w:eastAsia="Arial" w:hAnsi="Arial"/>
          <w:b w:val="1"/>
          <w:sz w:val="24"/>
          <w:szCs w:val="24"/>
          <w:rtl w:val="0"/>
        </w:rPr>
        <w:t xml:space="preserve">Allegato 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7">
      <w:pPr>
        <w:keepNext w:val="1"/>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Rapporti con i portatori di interessi particolari</w:t>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 le misure generali che le amministrazioni è opportuno adottino, l’Autorità ha fatto riferimento a quelle volte a garantire una corretta interlocuzione tra i decisori pubblici e i portatori di interesse, rendendo conoscibili le modalità di confronto e di scambio di informazioni (PNA 2019, pag. 84). </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L’Autorità auspica sia che le amministrazioni e gli enti regolamentino la materia, prevedendo anche opportuni coordinamenti con i contenuti dei codici di comportamento; sia che la scelta ricada su misure, strumenti o iniziative che non si limitino a registrare il fenomeno da un punto di vista formale e burocratico ma che siano in grado effettivamente di rendere il più possibile trasparenti eventuali influenze di portatori di interessi particolari sul processo decisionale.</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MISURA GENERALE N. 12: </w:t>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l’amministrazione intende dotarsi di un regolamento del tutto analogo a quello licenziato dall’Autorità, con la deliberazione n. 172 del 6/3/2019, che disciplini i rapporti tra amministrazione e portatori di interessi particolari.  </w:t>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misura sarà attuata entro il triennio di validità del presente. </w:t>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4F">
      <w:pPr>
        <w:keepNext w:val="1"/>
        <w:keepLines w:val="0"/>
        <w:pageBreakBefore w:val="0"/>
        <w:widowControl w:val="0"/>
        <w:numPr>
          <w:ilvl w:val="2"/>
          <w:numId w:val="14"/>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Erogazione di sovvenzioni, contributi, sussidi e vantaggi economici di qualunque genere</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Il comma 1 dell’art. 26 del d.lgs. 33/2013 (come modificato dal d.lgs. 97/2016) prevede la pubblicazione degli atti con i quali le pubbliche amministrazioni determinano, ai sensi dell’art. 12 della legge 241/1990, criteri e modalità per la concessione di sovvenzioni, contributi, sussidi ed ausili finanziari, nonché per attribuire vantaggi economici di qualunque genere a persone, enti pubblici ed enti privati.</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Il comma 2 del medesimo art. 26, invece, impone la pubblicazione dei provvedimenti di concessione di benefici superiori a 1.000 euro, assegnati allo stesso beneficiario, nel corso dell’anno solare. La pubblicazione, che è dovuta anche qualora il limite venga superato con più provvedimenti, costituisce condizione di legale di efficacia del provvedimento di attribuzione del vantaggio (art. 26 comma 3). </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pubblicazione deve avvenire tempestivamente e, comunque, prima della liquidazione delle somme che costituiscono il contributo. </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L’obbligo di pubblicazione sussiste solo laddove il totale dei contributi concessi allo stesso beneficiario, nel corso dell’anno solare, sia superiore a 1.000 euro. </w:t>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Il comma 4 dell’art. 26, </w:t>
      </w:r>
      <w:r w:rsidDel="00000000" w:rsidR="00000000" w:rsidRPr="00000000">
        <w:rPr>
          <w:rFonts w:ascii="Arial" w:cs="Arial" w:eastAsia="Arial" w:hAnsi="Arial"/>
          <w:b w:val="1"/>
          <w:color w:val="000000"/>
          <w:sz w:val="24"/>
          <w:szCs w:val="24"/>
          <w:rtl w:val="0"/>
        </w:rPr>
        <w:t xml:space="preserve">esclude la pubblicazione dei dati identificativi delle persone fisiche beneficiarie qualora sia possibile desumere informazioni sullo stato di salute, ovvero sulla condizione di disagio economico-sociale dell’interessato. </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L’art. 27, del d.lgs. 33/2013, invece elenca le informazioni da pubblicare: il nome dell'impresa o dell'ente e i rispettivi dati fiscali, il nome di altro soggetto beneficiario; l'importo del vantaggio economico corrisposto; la norma o il titolo a base dell'attribuzione; l'ufficio e il dirigente responsabile del relativo procedimento amministrativo; la modalità seguita per l'individuazione del beneficiario; il link al progetto selezionato ed al curriculum del soggetto incaricato.</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Tali informazioni, organizzate annualmente in unico elenco, sono registrate in Amministrazione trasparente (“Sovvenzioni, contributi, sussidi, vantaggi economici”, “Atti di concessione”) con modalità di facile consultazione, in formato tabellare aperto che ne consenta l'esportazione, il trattamento e il riutilizzo (art. 27 comma 2). </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MISURA GENERALE N. 13: </w:t>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sovvenzioni, contributi, sussidi, ausili finanziari, nonché attribuzioni di vantaggi economici di qualunque genere, sono elargiti esclusivamente alle condizioni e secondo la disciplina del regolamento previsto dall'art. 12 della legge 241/1990. Detto regolamento è stato approvato dall’organo consiliare con deliberazione n. 100 del 2010. </w:t>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Ogni provvedimento d’attribuzione/elargizione è prontamente pubblicato sul sito istituzionale dell’ente nella sezione “</w:t>
      </w:r>
      <w:r w:rsidDel="00000000" w:rsidR="00000000" w:rsidRPr="00000000">
        <w:rPr>
          <w:rFonts w:ascii="Arial" w:cs="Arial" w:eastAsia="Arial" w:hAnsi="Arial"/>
          <w:i w:val="1"/>
          <w:sz w:val="24"/>
          <w:szCs w:val="24"/>
          <w:rtl w:val="0"/>
        </w:rPr>
        <w:t xml:space="preserve">amministrazione trasparente</w:t>
      </w:r>
      <w:r w:rsidDel="00000000" w:rsidR="00000000" w:rsidRPr="00000000">
        <w:rPr>
          <w:rFonts w:ascii="Arial" w:cs="Arial" w:eastAsia="Arial" w:hAnsi="Arial"/>
          <w:sz w:val="24"/>
          <w:szCs w:val="24"/>
          <w:rtl w:val="0"/>
        </w:rPr>
        <w:t xml:space="preserve">”, oltre che all’albo online e nella sezione “</w:t>
      </w:r>
      <w:r w:rsidDel="00000000" w:rsidR="00000000" w:rsidRPr="00000000">
        <w:rPr>
          <w:rFonts w:ascii="Arial" w:cs="Arial" w:eastAsia="Arial" w:hAnsi="Arial"/>
          <w:i w:val="1"/>
          <w:sz w:val="24"/>
          <w:szCs w:val="24"/>
          <w:rtl w:val="0"/>
        </w:rPr>
        <w:t xml:space="preserve">determinazioni/deliberazioni</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misura è già operativa. </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5D">
      <w:pPr>
        <w:keepNext w:val="1"/>
        <w:widowControl w:val="0"/>
        <w:numPr>
          <w:ilvl w:val="2"/>
          <w:numId w:val="12"/>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Concorsi e selezione del personale</w:t>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concorsi e le procedure selettive si svolgono secondo le prescrizioni del DPR n 82 del 16/06/2023 recante modifiche al DPR 487/1994 concernente l’accesso agli impieghi e le modalità di svolgimento dei concorsi e delle altre forme di assunzione dei pubblici impieghi. </w:t>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MISURA GENERALE N. 14: </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 necessario aggiornare conseguentemente il regolamento di organizzazione dell’ente approvato  con deliberazione dell’esecutivo n. 41 del 15.05.2021. </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Inoltre si prescrivono accurate verifiche sulla veridicità dei curriculum e sulle dichiarazioni di assenza di conflitti di interesse. I curriculum devono essere pubblicati in amministrazione trasparente</w:t>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L’aggiornamento del regolamento è previsto nell’anno mentre le altre misure sono già operative; la loro attuazione puntuale sarà oggetto di verifica da parte del RPCT. </w:t>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6">
      <w:pPr>
        <w:keepNext w:val="1"/>
        <w:widowControl w:val="0"/>
        <w:numPr>
          <w:ilvl w:val="2"/>
          <w:numId w:val="12"/>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Il monitoraggio del rispetto dei termini di conclusione dei procedimenti</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Dal monitoraggio dei termini di conclusione dei procedimenti amministrativi potrebbero essere rilevati omissioni e ritardi ingiustificati tali da celare fenomeni corruttivi o, perlomeno, di cattiva amministrazione. </w:t>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MISURA GENERALE N. 15: </w:t>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rispetto dei termini di conclusione dei procedimenti emerge dalla verifica dei risultati descritti NEL Piano delle performance che per ogni obiettivo prescrive il rispetto di target temporali stabiliti nel rispetto della legge, </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misura è già operativa. </w:t>
      </w:r>
    </w:p>
    <w:p w:rsidR="00000000" w:rsidDel="00000000" w:rsidP="00000000" w:rsidRDefault="00000000" w:rsidRPr="00000000" w14:paraId="0000016B">
      <w:pPr>
        <w:spacing w:after="0" w:before="120" w:line="240" w:lineRule="auto"/>
        <w:rPr>
          <w:rFonts w:ascii="Arial" w:cs="Arial" w:eastAsia="Arial" w:hAnsi="Arial"/>
          <w:color w:val="ff0000"/>
          <w:sz w:val="24"/>
          <w:szCs w:val="24"/>
        </w:rPr>
      </w:pPr>
      <w:bookmarkStart w:colFirst="0" w:colLast="0" w:name="_heading=h.4k668n3" w:id="9"/>
      <w:bookmarkEnd w:id="9"/>
      <w:r w:rsidDel="00000000" w:rsidR="00000000" w:rsidRPr="00000000">
        <w:rPr>
          <w:rtl w:val="0"/>
        </w:rPr>
      </w:r>
    </w:p>
    <w:p w:rsidR="00000000" w:rsidDel="00000000" w:rsidP="00000000" w:rsidRDefault="00000000" w:rsidRPr="00000000" w14:paraId="0000016C">
      <w:pPr>
        <w:keepNext w:val="1"/>
        <w:widowControl w:val="0"/>
        <w:numPr>
          <w:ilvl w:val="2"/>
          <w:numId w:val="12"/>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La vigilanza su enti controllati e partecipati</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norma della deliberazione ANAC, n. 1134/2017, sulle “Nuove linee guida per l’attuazione della normativa in materia di prevenzione della corruzione e trasparenza da parte delle società e degli enti di diritto privato controllati e partecipati dalle pubbliche amministrazioni e dagli enti pubblici economici” (pag. 45), in materia di prevenzione della corruzione, gli enti di diritto privato in controllo pubblico e necessario che: </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adottino il modello di cui al d.lgs. 231/2001; </w:t>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provvedano alla nomina del Responsabile anticorruzione e per la trasparenza; </w:t>
      </w:r>
    </w:p>
    <w:p w:rsidR="00000000" w:rsidDel="00000000" w:rsidP="00000000" w:rsidRDefault="00000000" w:rsidRPr="00000000" w14:paraId="00000170">
      <w:pPr>
        <w:spacing w:after="0" w:before="120" w:line="240" w:lineRule="auto"/>
        <w:rPr>
          <w:rFonts w:ascii="Arial" w:cs="Arial" w:eastAsia="Arial" w:hAnsi="Arial"/>
          <w:color w:val="ff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1">
      <w:pPr>
        <w:keepNext w:val="1"/>
        <w:widowControl w:val="0"/>
        <w:numPr>
          <w:ilvl w:val="0"/>
          <w:numId w:val="1"/>
        </w:numPr>
        <w:pBdr>
          <w:top w:space="0" w:sz="0" w:val="nil"/>
          <w:left w:space="0" w:sz="0" w:val="nil"/>
          <w:bottom w:space="0" w:sz="0" w:val="nil"/>
          <w:right w:space="0" w:sz="0" w:val="nil"/>
          <w:between w:space="0" w:sz="0" w:val="nil"/>
        </w:pBdr>
        <w:shd w:fill="d9d9d9" w:val="clear"/>
        <w:spacing w:after="240" w:before="120" w:line="36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La trasparenza </w:t>
      </w:r>
    </w:p>
    <w:p w:rsidR="00000000" w:rsidDel="00000000" w:rsidP="00000000" w:rsidRDefault="00000000" w:rsidRPr="00000000" w14:paraId="00000172">
      <w:pPr>
        <w:keepNext w:val="1"/>
        <w:widowControl w:val="0"/>
        <w:numPr>
          <w:ilvl w:val="1"/>
          <w:numId w:val="1"/>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La trasparenza e l’accesso civico</w:t>
      </w:r>
    </w:p>
    <w:p w:rsidR="00000000" w:rsidDel="00000000" w:rsidP="00000000" w:rsidRDefault="00000000" w:rsidRPr="00000000" w14:paraId="00000173">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il PNA 2022 sono state introdotte indicazioni per la predisposizione del PTPCT e della sezione anticorruzione e trasparenza del PIAO. </w:t>
      </w:r>
    </w:p>
    <w:p w:rsidR="00000000" w:rsidDel="00000000" w:rsidP="00000000" w:rsidRDefault="00000000" w:rsidRPr="00000000" w14:paraId="00000174">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trasparenza è attuata: </w:t>
      </w:r>
    </w:p>
    <w:p w:rsidR="00000000" w:rsidDel="00000000" w:rsidP="00000000" w:rsidRDefault="00000000" w:rsidRPr="00000000" w14:paraId="00000175">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attraverso la pubblicazione dei dati e delle informazioni elencate dalla legge sul sito web istituzionale nella sezione “Amministrazione trasparente”; </w:t>
      </w:r>
    </w:p>
    <w:p w:rsidR="00000000" w:rsidDel="00000000" w:rsidP="00000000" w:rsidRDefault="00000000" w:rsidRPr="00000000" w14:paraId="00000176">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l’istituto dell’accesso civico, classificato in semplice e generalizzato di cui ai commi 1 e 2  dell’art. 5 del d.lgs. 33/2013.</w:t>
      </w:r>
    </w:p>
    <w:p w:rsidR="00000000" w:rsidDel="00000000" w:rsidP="00000000" w:rsidRDefault="00000000" w:rsidRPr="00000000" w14:paraId="00000177">
      <w:pPr>
        <w:spacing w:after="0" w:before="120" w:line="240" w:lineRule="auto"/>
        <w:jc w:val="both"/>
        <w:rPr>
          <w:rFonts w:ascii="Arial" w:cs="Arial" w:eastAsia="Arial" w:hAnsi="Arial"/>
          <w:color w:val="0f243e"/>
          <w:sz w:val="24"/>
          <w:szCs w:val="24"/>
        </w:rPr>
      </w:pPr>
      <w:r w:rsidDel="00000000" w:rsidR="00000000" w:rsidRPr="00000000">
        <w:rPr>
          <w:rtl w:val="0"/>
        </w:rPr>
      </w:r>
    </w:p>
    <w:p w:rsidR="00000000" w:rsidDel="00000000" w:rsidP="00000000" w:rsidRDefault="00000000" w:rsidRPr="00000000" w14:paraId="00000178">
      <w:pPr>
        <w:keepNext w:val="1"/>
        <w:widowControl w:val="0"/>
        <w:numPr>
          <w:ilvl w:val="1"/>
          <w:numId w:val="1"/>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Le modalità attuative degli obblighi di pubblicazione</w:t>
      </w:r>
    </w:p>
    <w:p w:rsidR="00000000" w:rsidDel="00000000" w:rsidP="00000000" w:rsidRDefault="00000000" w:rsidRPr="00000000" w14:paraId="00000179">
      <w:pP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L’Allegato n. 1, della deliberazione ANAC 28/12/2016 n. 1310, integrando i contenuti della scheda allegata al d.lgs. 33/2013, ha rinnovato la struttura delle informazioni da pubblicarsi sui siti delle pubbliche amministrazioni, adeguandola alle novità introdotte dal d.lgs. 97/2016.  </w:t>
      </w:r>
    </w:p>
    <w:p w:rsidR="00000000" w:rsidDel="00000000" w:rsidP="00000000" w:rsidRDefault="00000000" w:rsidRPr="00000000" w14:paraId="0000017A">
      <w:pP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Il legislatore ha organizzato in sotto-sezioni di primo e di secondo livello le informazioni, i documenti ed i dati da pubblicare obbligatoriamente nella sezione “Amministrazione trasparente”. </w:t>
      </w:r>
    </w:p>
    <w:p w:rsidR="00000000" w:rsidDel="00000000" w:rsidP="00000000" w:rsidRDefault="00000000" w:rsidRPr="00000000" w14:paraId="0000017B">
      <w:pP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 sotto-sezioni devono essere denominate esattamente come indicato dalla deliberazione ANAC 1310/2016. </w:t>
      </w:r>
    </w:p>
    <w:p w:rsidR="00000000" w:rsidDel="00000000" w:rsidP="00000000" w:rsidRDefault="00000000" w:rsidRPr="00000000" w14:paraId="0000017C">
      <w:pP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 schede allegate denominate "</w:t>
      </w:r>
      <w:r w:rsidDel="00000000" w:rsidR="00000000" w:rsidRPr="00000000">
        <w:rPr>
          <w:rFonts w:ascii="Arial" w:cs="Arial" w:eastAsia="Arial" w:hAnsi="Arial"/>
          <w:b w:val="1"/>
          <w:color w:val="000000"/>
          <w:sz w:val="24"/>
          <w:szCs w:val="24"/>
          <w:u w:val="single"/>
          <w:rtl w:val="0"/>
        </w:rPr>
        <w:t xml:space="preserve">Allegato D - Misure di trasparenza</w:t>
      </w:r>
      <w:r w:rsidDel="00000000" w:rsidR="00000000" w:rsidRPr="00000000">
        <w:rPr>
          <w:rFonts w:ascii="Arial" w:cs="Arial" w:eastAsia="Arial" w:hAnsi="Arial"/>
          <w:color w:val="000000"/>
          <w:sz w:val="24"/>
          <w:szCs w:val="24"/>
          <w:rtl w:val="0"/>
        </w:rPr>
        <w:t xml:space="preserve">" ripropongono fedelmente i contenuti, assai puntuali e dettagliati, quindi più che esaustivi, dell’Allegato n. 1 della deliberazione ANAC 28/12/2016, n. 1310. </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Dal 1° gennaio 2024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l’alberatura della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sotto-sezione “Bandi di gara e contratti”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Amministrazione Trasparente dovrà adeguarsi al nuovo regime normativo in materia di contratti pubblici di lavori, servizi e forniture di cui  all’art. 37 del d.lgs. 33/2013 e al d.lgs. n. 36/202 che ha acquistato efficacia dal 1° luglio 2023 (art. 229, co. 2) ( vedi parti in rosso in allegato D)</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particolare, sulla trasparenza dei contratti pubblici il nuovo Codice ha previsto: </w:t>
      </w:r>
    </w:p>
    <w:p w:rsidR="00000000" w:rsidDel="00000000" w:rsidP="00000000" w:rsidRDefault="00000000" w:rsidRPr="00000000" w14:paraId="0000017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 le informazioni e i dati relativi alla programmazione di lavori, servizi e forniture, nonché alle procedure del ciclo di vita dei contratti pubblici, ove non considerati riservati ovvero secretati, siano tempestivamente trasmessi alla Banca dati nazionale dei contratti pubblici (BDNCP) presso l’ANAC da parte delle stazioni appaltanti e dagli enti concedenti attraverso le piattaforme di approvvigionamento digitale utilizzate per svolgere le procedure di affidamento e di esecuzione dei contratti pubblici (art. 28); </w:t>
      </w:r>
    </w:p>
    <w:p w:rsidR="00000000" w:rsidDel="00000000" w:rsidP="00000000" w:rsidRDefault="00000000" w:rsidRPr="00000000" w14:paraId="0000018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 spetta alle stazioni appaltanti e agli enti concedenti, al fine di garantire la trasparenza dei dati comunicati alla BDNCP, il compito di assicurare il collegamento tra la sezione «Amministrazione trasparente» del sito istituzionale e la stessa BDNCP, secondo le disposizioni di cui al d.lgs. 33/2013; </w:t>
      </w:r>
    </w:p>
    <w:p w:rsidR="00000000" w:rsidDel="00000000" w:rsidP="00000000" w:rsidRDefault="00000000" w:rsidRPr="00000000" w14:paraId="0000018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sostituzione, ad opera dell’art. 224, co. 4 del Codice, dell’art. 37 del d.lgs. 33/2013 rubricato “Obblighi di pubblicazione concernenti i contratti pubblici di lavori, servizi e forniture” con il seguente: </w:t>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“1. Fermo restando quanto previsto dall’articolo 9-bis e fermi restando gli obblighi di pubblicità legale, le pubbliche amministrazioni e le stazioni appaltanti pubblicano i dati, gli atti e le informazioni secondo quanto previsto dall’articolo 28 del codice dei contratti pubblici di cui al decreto legislativo di attuazione della legge 21 giugno 2022, n. 78.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2. Ai sensi dell’articolo 9-bis, gli obblighi di pubblicazione di cui al comma 1 si intendono assolti attraverso l’invio dei medesimi dati alla Banca dati nazionale dei contratti pubblici presso l’ANAC e alla banca dati delle amministrazioni pubbliche ai sensi dell’articolo 2 del decreto legislativo 29 dicembre 2011, n. 229, limitatamente alla parte lavori.”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completamento del quadro normativo descritto occorre richiamare i provvedimenti dell’Autorità che hanno precisato gli obblighi di pubblicazione e le modalità di attuazione degli stessi a decorrere dal 1°gennaio 2024: </w:t>
      </w:r>
    </w:p>
    <w:p w:rsidR="00000000" w:rsidDel="00000000" w:rsidP="00000000" w:rsidRDefault="00000000" w:rsidRPr="00000000" w14:paraId="000001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15"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deliberazione ANAC n. 261 del 20 giugno 2023 recante “Adozione del provvedimento di cui all’articolo 23, comma 5, del decreto legislativo 31 marzo 2023, n. 36 recante «Individuazione delle informazioni che le stazioni appaltanti sono tenute a trasmettere alla Banca dati nazionale dei contratti pubblici attraverso le piattaforme telematiche e i tempi entro i quali i titolari delle piattaforme e delle banche dati di cui agli articoli 22 e 23, comma 3, del codice garantiscono l’integrazione con i servizi abilitanti l’ecosistema di approvvigionamento digitale”. La delibera – come riporta il titolo - individua le informazioni che le stazioni appaltanti sono tenute a trasmettere alla BDNCP attraverso le piattaforme telematiche; </w:t>
      </w:r>
    </w:p>
    <w:p w:rsidR="00000000" w:rsidDel="00000000" w:rsidP="00000000" w:rsidRDefault="00000000" w:rsidRPr="00000000" w14:paraId="000001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15"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deliberazione ANAC n. 264 del 20 giugno 2023 e ss.mm.ii. recante “Adozione del provvedimento di cui all’articolo 28, comma 4, del decreto legislativo n. 31 marzo 2023, n. 36 recante individuazione delle informazioni e dei dati relativi alla programmazione di lavori, servizi e forniture, nonché alle procedure del ciclo di vita dei contratti pubblici che rilevano ai fini dell’assolvimento degli obblighi di pubblicazione di cui al decreto legislativo 14 marzo 2013, n. 33 e relativo allegato 1). La delibera – come riporta il titolo - individua gli effetti dell’articolo 37 del decreto trasparenza e dell’articolo 28 del Codice.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particolare, nella deliberazione n. 264/2023 l’Autorità ha chiarito che gli obblighi di pubblicazione in materia di contratti pubblici sono assolti dalle stazioni appaltanti e dagli enti concedenti: </w:t>
      </w:r>
    </w:p>
    <w:p w:rsidR="00000000" w:rsidDel="00000000" w:rsidP="00000000" w:rsidRDefault="00000000" w:rsidRPr="00000000" w14:paraId="0000018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15"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la comunicazione tempestiva alla BDNCP, ai sensi dell’articolo 9-bis del d.lgs. 33/2013, di tutti i dati e le informazioni individuati nell’articolo 10 della deliberazione ANAC n. 261/2023; </w:t>
      </w:r>
    </w:p>
    <w:p w:rsidR="00000000" w:rsidDel="00000000" w:rsidP="00000000" w:rsidRDefault="00000000" w:rsidRPr="00000000" w14:paraId="0000018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l’inserimento sul sito istituzionale, nella sezione "Amministrazione trasparente", di un collegamento ipertestuale che rinvia ai dati relativi all’intero ciclo di vita del contratto contenuti nella BDNCP. Il collegamento garantisce un accesso immediato e diretto ai dati da consultare riferiti allo specifico contratto della stazione appaltante e dell’ente concedente ed assicura la trasparenza in ogni fase della procedura contrattuale, dall’avvio all’esecuzione; l</w:t>
      </w:r>
      <w:r w:rsidDel="00000000" w:rsidR="00000000" w:rsidRPr="00000000">
        <w:rPr>
          <w:rFonts w:ascii="Open Sans" w:cs="Open Sans" w:eastAsia="Open Sans" w:hAnsi="Open Sans"/>
          <w:b w:val="0"/>
          <w:i w:val="0"/>
          <w:smallCaps w:val="0"/>
          <w:strike w:val="0"/>
          <w:color w:val="1c2024"/>
          <w:sz w:val="21"/>
          <w:szCs w:val="21"/>
          <w:highlight w:val="white"/>
          <w:u w:val="none"/>
          <w:vertAlign w:val="baseline"/>
          <w:rtl w:val="0"/>
        </w:rPr>
        <w:t xml:space="preserve">’interoperabilità prevede che </w:t>
      </w:r>
      <w:r w:rsidDel="00000000" w:rsidR="00000000" w:rsidRPr="00000000">
        <w:rPr>
          <w:rFonts w:ascii="Open Sans" w:cs="Open Sans" w:eastAsia="Open Sans" w:hAnsi="Open Sans"/>
          <w:b w:val="1"/>
          <w:i w:val="0"/>
          <w:smallCaps w:val="0"/>
          <w:strike w:val="0"/>
          <w:color w:val="1c2024"/>
          <w:sz w:val="21"/>
          <w:szCs w:val="21"/>
          <w:highlight w:val="white"/>
          <w:u w:val="none"/>
          <w:vertAlign w:val="baseline"/>
          <w:rtl w:val="0"/>
        </w:rPr>
        <w:t xml:space="preserve">ogni singolo step vada inviato al sistema nazionale ANAC attraverso l’invio di schede</w:t>
      </w:r>
      <w:r w:rsidDel="00000000" w:rsidR="00000000" w:rsidRPr="00000000">
        <w:rPr>
          <w:rFonts w:ascii="Open Sans" w:cs="Open Sans" w:eastAsia="Open Sans" w:hAnsi="Open Sans"/>
          <w:b w:val="0"/>
          <w:i w:val="0"/>
          <w:smallCaps w:val="0"/>
          <w:strike w:val="0"/>
          <w:color w:val="1c2024"/>
          <w:sz w:val="21"/>
          <w:szCs w:val="21"/>
          <w:highlight w:val="white"/>
          <w:u w:val="none"/>
          <w:vertAlign w:val="baseline"/>
          <w:rtl w:val="0"/>
        </w:rPr>
        <w:t xml:space="preserve">, a partire da quello iniziale: con la funzione “crea appalto”, la Piattaforma Contratti Pubblici (PCP, parte della Banca dati nazionale) acquisisce il set di informazioni di base sulla procedura, che una volta confermata consente di recuperare il CIG. Lo scambio di dati con l’Autorità sarà costante e tempestivo in ogni  fase del contratto.</w:t>
      </w:r>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la pubblicazione in “Amministrazione Trasparente” del sito istituzionale dei soli atti e documenti, dati e informazioni che non devono essere comunicati alla BDNCP, come elencati nell’Allegato 1) della delibera n. ANAC 264/2023 e successivi aggiornamenti.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Rispetto alla deliberazione 1310/2016, le tabelle di questo piano sono composte da sette colonne, anziché sei. </w:t>
      </w:r>
    </w:p>
    <w:p w:rsidR="00000000" w:rsidDel="00000000" w:rsidP="00000000" w:rsidRDefault="00000000" w:rsidRPr="00000000" w14:paraId="0000018E">
      <w:pP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È stata aggiunta la “Colonna G” (a destra) per poter individuare, in modo chiaro, l’ufficio responsabile delle pubblicazioni previste nelle altre colonne.  </w:t>
      </w:r>
    </w:p>
    <w:p w:rsidR="00000000" w:rsidDel="00000000" w:rsidP="00000000" w:rsidRDefault="00000000" w:rsidRPr="00000000" w14:paraId="0000018F">
      <w:pPr>
        <w:spacing w:after="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 tabelle, organizzate in sette colonne, recano i dati seguenti: </w:t>
      </w:r>
    </w:p>
    <w:p w:rsidR="00000000" w:rsidDel="00000000" w:rsidP="00000000" w:rsidRDefault="00000000" w:rsidRPr="00000000" w14:paraId="00000190">
      <w:pPr>
        <w:spacing w:after="0" w:before="120" w:line="240" w:lineRule="auto"/>
        <w:jc w:val="both"/>
        <w:rPr>
          <w:rFonts w:ascii="Arial" w:cs="Arial" w:eastAsia="Arial" w:hAnsi="Arial"/>
          <w:color w:val="000000"/>
          <w:sz w:val="24"/>
          <w:szCs w:val="24"/>
        </w:rPr>
      </w:pPr>
      <w:r w:rsidDel="00000000" w:rsidR="00000000" w:rsidRPr="00000000">
        <w:rPr>
          <w:rtl w:val="0"/>
        </w:rPr>
      </w:r>
    </w:p>
    <w:tbl>
      <w:tblPr>
        <w:tblStyle w:val="Table2"/>
        <w:tblW w:w="8188.000000000001"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521"/>
        <w:gridCol w:w="6667"/>
        <w:tblGridChange w:id="0">
          <w:tblGrid>
            <w:gridCol w:w="1521"/>
            <w:gridCol w:w="6667"/>
          </w:tblGrid>
        </w:tblGridChange>
      </w:tblGrid>
      <w:tr>
        <w:trPr>
          <w:cantSplit w:val="0"/>
          <w:tblHeader w:val="0"/>
        </w:trPr>
        <w:tc>
          <w:tcPr/>
          <w:p w:rsidR="00000000" w:rsidDel="00000000" w:rsidP="00000000" w:rsidRDefault="00000000" w:rsidRPr="00000000" w14:paraId="00000191">
            <w:pPr>
              <w:spacing w:after="0" w:before="120" w:line="240" w:lineRule="auto"/>
              <w:jc w:val="center"/>
              <w:rPr>
                <w:rFonts w:ascii="Arial" w:cs="Arial" w:eastAsia="Arial" w:hAnsi="Arial"/>
                <w:b w:val="0"/>
                <w:smallCaps w:val="0"/>
                <w:color w:val="000000"/>
                <w:sz w:val="24"/>
                <w:szCs w:val="24"/>
              </w:rPr>
            </w:pPr>
            <w:r w:rsidDel="00000000" w:rsidR="00000000" w:rsidRPr="00000000">
              <w:rPr>
                <w:rFonts w:ascii="Arial" w:cs="Arial" w:eastAsia="Arial" w:hAnsi="Arial"/>
                <w:b w:val="0"/>
                <w:smallCaps w:val="0"/>
                <w:color w:val="000000"/>
                <w:sz w:val="24"/>
                <w:szCs w:val="24"/>
                <w:rtl w:val="0"/>
              </w:rPr>
              <w:t xml:space="preserve">COLONNA</w:t>
            </w:r>
          </w:p>
        </w:tc>
        <w:tc>
          <w:tcPr/>
          <w:p w:rsidR="00000000" w:rsidDel="00000000" w:rsidP="00000000" w:rsidRDefault="00000000" w:rsidRPr="00000000" w14:paraId="00000192">
            <w:pPr>
              <w:spacing w:after="0" w:before="120" w:line="240" w:lineRule="auto"/>
              <w:jc w:val="center"/>
              <w:rPr>
                <w:rFonts w:ascii="Arial" w:cs="Arial" w:eastAsia="Arial" w:hAnsi="Arial"/>
                <w:b w:val="0"/>
                <w:smallCaps w:val="0"/>
                <w:color w:val="000000"/>
                <w:sz w:val="24"/>
                <w:szCs w:val="24"/>
              </w:rPr>
            </w:pPr>
            <w:r w:rsidDel="00000000" w:rsidR="00000000" w:rsidRPr="00000000">
              <w:rPr>
                <w:rFonts w:ascii="Arial" w:cs="Arial" w:eastAsia="Arial" w:hAnsi="Arial"/>
                <w:b w:val="0"/>
                <w:smallCaps w:val="0"/>
                <w:color w:val="000000"/>
                <w:sz w:val="24"/>
                <w:szCs w:val="24"/>
                <w:rtl w:val="0"/>
              </w:rPr>
              <w:t xml:space="preserve">CONTENUTO</w:t>
            </w:r>
          </w:p>
        </w:tc>
      </w:tr>
      <w:tr>
        <w:trPr>
          <w:cantSplit w:val="0"/>
          <w:tblHeader w:val="0"/>
        </w:trPr>
        <w:tc>
          <w:tcPr/>
          <w:p w:rsidR="00000000" w:rsidDel="00000000" w:rsidP="00000000" w:rsidRDefault="00000000" w:rsidRPr="00000000" w14:paraId="00000193">
            <w:pPr>
              <w:spacing w:after="0" w:before="120" w:line="240" w:lineRule="auto"/>
              <w:jc w:val="center"/>
              <w:rPr>
                <w:rFonts w:ascii="Arial" w:cs="Arial" w:eastAsia="Arial" w:hAnsi="Arial"/>
                <w:b w:val="0"/>
                <w:smallCaps w:val="0"/>
                <w:color w:val="000000"/>
                <w:sz w:val="24"/>
                <w:szCs w:val="24"/>
              </w:rPr>
            </w:pPr>
            <w:r w:rsidDel="00000000" w:rsidR="00000000" w:rsidRPr="00000000">
              <w:rPr>
                <w:rFonts w:ascii="Arial" w:cs="Arial" w:eastAsia="Arial" w:hAnsi="Arial"/>
                <w:b w:val="0"/>
                <w:smallCaps w:val="0"/>
                <w:color w:val="000000"/>
                <w:sz w:val="24"/>
                <w:szCs w:val="24"/>
                <w:rtl w:val="0"/>
              </w:rPr>
              <w:t xml:space="preserve">A</w:t>
            </w:r>
          </w:p>
        </w:tc>
        <w:tc>
          <w:tcPr/>
          <w:p w:rsidR="00000000" w:rsidDel="00000000" w:rsidP="00000000" w:rsidRDefault="00000000" w:rsidRPr="00000000" w14:paraId="00000194">
            <w:pPr>
              <w:spacing w:after="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denominazione delle sotto-sezioni di primo livello</w:t>
            </w:r>
          </w:p>
        </w:tc>
      </w:tr>
      <w:tr>
        <w:trPr>
          <w:cantSplit w:val="0"/>
          <w:tblHeader w:val="0"/>
        </w:trPr>
        <w:tc>
          <w:tcPr/>
          <w:p w:rsidR="00000000" w:rsidDel="00000000" w:rsidP="00000000" w:rsidRDefault="00000000" w:rsidRPr="00000000" w14:paraId="00000195">
            <w:pPr>
              <w:spacing w:after="0" w:before="120" w:line="240" w:lineRule="auto"/>
              <w:jc w:val="center"/>
              <w:rPr>
                <w:rFonts w:ascii="Arial" w:cs="Arial" w:eastAsia="Arial" w:hAnsi="Arial"/>
                <w:b w:val="0"/>
                <w:smallCaps w:val="0"/>
                <w:color w:val="000000"/>
                <w:sz w:val="24"/>
                <w:szCs w:val="24"/>
              </w:rPr>
            </w:pPr>
            <w:r w:rsidDel="00000000" w:rsidR="00000000" w:rsidRPr="00000000">
              <w:rPr>
                <w:rFonts w:ascii="Arial" w:cs="Arial" w:eastAsia="Arial" w:hAnsi="Arial"/>
                <w:b w:val="0"/>
                <w:smallCaps w:val="0"/>
                <w:color w:val="000000"/>
                <w:sz w:val="24"/>
                <w:szCs w:val="24"/>
                <w:rtl w:val="0"/>
              </w:rPr>
              <w:t xml:space="preserve">B</w:t>
            </w:r>
          </w:p>
        </w:tc>
        <w:tc>
          <w:tcPr/>
          <w:p w:rsidR="00000000" w:rsidDel="00000000" w:rsidP="00000000" w:rsidRDefault="00000000" w:rsidRPr="00000000" w14:paraId="00000196">
            <w:pPr>
              <w:spacing w:after="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denominazione delle sotto-sezioni di secondo livello</w:t>
            </w:r>
          </w:p>
        </w:tc>
      </w:tr>
      <w:tr>
        <w:trPr>
          <w:cantSplit w:val="0"/>
          <w:tblHeader w:val="0"/>
        </w:trPr>
        <w:tc>
          <w:tcPr/>
          <w:p w:rsidR="00000000" w:rsidDel="00000000" w:rsidP="00000000" w:rsidRDefault="00000000" w:rsidRPr="00000000" w14:paraId="00000197">
            <w:pPr>
              <w:spacing w:after="0" w:before="120" w:line="240" w:lineRule="auto"/>
              <w:jc w:val="center"/>
              <w:rPr>
                <w:rFonts w:ascii="Arial" w:cs="Arial" w:eastAsia="Arial" w:hAnsi="Arial"/>
                <w:b w:val="0"/>
                <w:smallCaps w:val="0"/>
                <w:color w:val="000000"/>
                <w:sz w:val="24"/>
                <w:szCs w:val="24"/>
              </w:rPr>
            </w:pPr>
            <w:r w:rsidDel="00000000" w:rsidR="00000000" w:rsidRPr="00000000">
              <w:rPr>
                <w:rFonts w:ascii="Arial" w:cs="Arial" w:eastAsia="Arial" w:hAnsi="Arial"/>
                <w:b w:val="0"/>
                <w:smallCaps w:val="0"/>
                <w:color w:val="000000"/>
                <w:sz w:val="24"/>
                <w:szCs w:val="24"/>
                <w:rtl w:val="0"/>
              </w:rPr>
              <w:t xml:space="preserve">C</w:t>
            </w:r>
          </w:p>
        </w:tc>
        <w:tc>
          <w:tcPr/>
          <w:p w:rsidR="00000000" w:rsidDel="00000000" w:rsidP="00000000" w:rsidRDefault="00000000" w:rsidRPr="00000000" w14:paraId="00000198">
            <w:pPr>
              <w:spacing w:after="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disposizioni normative che impongono la pubblicazione</w:t>
            </w:r>
          </w:p>
        </w:tc>
      </w:tr>
      <w:tr>
        <w:trPr>
          <w:cantSplit w:val="0"/>
          <w:tblHeader w:val="0"/>
        </w:trPr>
        <w:tc>
          <w:tcPr/>
          <w:p w:rsidR="00000000" w:rsidDel="00000000" w:rsidP="00000000" w:rsidRDefault="00000000" w:rsidRPr="00000000" w14:paraId="00000199">
            <w:pPr>
              <w:spacing w:after="0" w:before="12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w:t>
            </w:r>
          </w:p>
        </w:tc>
        <w:tc>
          <w:tcPr/>
          <w:p w:rsidR="00000000" w:rsidDel="00000000" w:rsidP="00000000" w:rsidRDefault="00000000" w:rsidRPr="00000000" w14:paraId="0000019A">
            <w:pPr>
              <w:spacing w:after="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denominazione del singolo obbligo di pubblicazione</w:t>
            </w:r>
          </w:p>
        </w:tc>
      </w:tr>
      <w:tr>
        <w:trPr>
          <w:cantSplit w:val="0"/>
          <w:tblHeader w:val="0"/>
        </w:trPr>
        <w:tc>
          <w:tcPr/>
          <w:p w:rsidR="00000000" w:rsidDel="00000000" w:rsidP="00000000" w:rsidRDefault="00000000" w:rsidRPr="00000000" w14:paraId="0000019B">
            <w:pPr>
              <w:spacing w:after="0" w:before="120"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w:t>
            </w:r>
          </w:p>
        </w:tc>
        <w:tc>
          <w:tcPr/>
          <w:p w:rsidR="00000000" w:rsidDel="00000000" w:rsidP="00000000" w:rsidRDefault="00000000" w:rsidRPr="00000000" w14:paraId="0000019C">
            <w:pPr>
              <w:spacing w:after="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contenuti dell’obbligo (documenti, dati e informazioni da pubblicare in ciascuna sotto-sezione secondo le linee guida di ANAC);</w:t>
            </w:r>
          </w:p>
        </w:tc>
      </w:tr>
      <w:tr>
        <w:trPr>
          <w:cantSplit w:val="0"/>
          <w:trHeight w:val="346" w:hRule="atLeast"/>
          <w:tblHeader w:val="0"/>
        </w:trPr>
        <w:tc>
          <w:tcPr/>
          <w:p w:rsidR="00000000" w:rsidDel="00000000" w:rsidP="00000000" w:rsidRDefault="00000000" w:rsidRPr="00000000" w14:paraId="0000019D">
            <w:pPr>
              <w:spacing w:after="0" w:before="12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 (*)</w:t>
            </w:r>
          </w:p>
        </w:tc>
        <w:tc>
          <w:tcPr/>
          <w:p w:rsidR="00000000" w:rsidDel="00000000" w:rsidP="00000000" w:rsidRDefault="00000000" w:rsidRPr="00000000" w14:paraId="0000019E">
            <w:pPr>
              <w:spacing w:after="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periodicità di aggiornamento delle pubblicazioni;</w:t>
            </w:r>
          </w:p>
        </w:tc>
      </w:tr>
      <w:tr>
        <w:trPr>
          <w:cantSplit w:val="0"/>
          <w:tblHeader w:val="0"/>
        </w:trPr>
        <w:tc>
          <w:tcPr/>
          <w:p w:rsidR="00000000" w:rsidDel="00000000" w:rsidP="00000000" w:rsidRDefault="00000000" w:rsidRPr="00000000" w14:paraId="0000019F">
            <w:pPr>
              <w:spacing w:after="0" w:before="12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 (**)</w:t>
            </w:r>
          </w:p>
        </w:tc>
        <w:tc>
          <w:tcPr/>
          <w:p w:rsidR="00000000" w:rsidDel="00000000" w:rsidP="00000000" w:rsidRDefault="00000000" w:rsidRPr="00000000" w14:paraId="000001A0">
            <w:pPr>
              <w:spacing w:after="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ufficio responsabile della pubblicazione dei dati, delle informazioni e dei documenti previsti nella colonna E secondo la periodicità prevista in colonna F.</w:t>
            </w:r>
          </w:p>
        </w:tc>
      </w:tr>
    </w:tbl>
    <w:p w:rsidR="00000000" w:rsidDel="00000000" w:rsidP="00000000" w:rsidRDefault="00000000" w:rsidRPr="00000000" w14:paraId="000001A1">
      <w:pPr>
        <w:spacing w:after="0" w:before="12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2">
      <w:pPr>
        <w:spacing w:after="0" w:before="120" w:line="240" w:lineRule="auto"/>
        <w:jc w:val="both"/>
        <w:rPr>
          <w:rFonts w:ascii="Arial" w:cs="Arial" w:eastAsia="Arial" w:hAnsi="Arial"/>
          <w:color w:val="000000"/>
          <w:sz w:val="18"/>
          <w:szCs w:val="18"/>
        </w:rPr>
      </w:pPr>
      <w:bookmarkStart w:colFirst="0" w:colLast="0" w:name="_heading=h.1ksv4uv" w:id="10"/>
      <w:bookmarkEnd w:id="10"/>
      <w:r w:rsidDel="00000000" w:rsidR="00000000" w:rsidRPr="00000000">
        <w:rPr>
          <w:rFonts w:ascii="Arial" w:cs="Arial" w:eastAsia="Arial" w:hAnsi="Arial"/>
          <w:b w:val="1"/>
          <w:color w:val="000000"/>
          <w:sz w:val="18"/>
          <w:szCs w:val="18"/>
          <w:rtl w:val="0"/>
        </w:rPr>
        <w:t xml:space="preserve">(*) Nota ai dati della Colonna F</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1A3">
      <w:pPr>
        <w:spacing w:after="0" w:before="12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la normativa impone scadenze temporali diverse per l’aggiornamento delle diverse tipologie di informazioni e documenti. </w:t>
      </w:r>
    </w:p>
    <w:p w:rsidR="00000000" w:rsidDel="00000000" w:rsidP="00000000" w:rsidRDefault="00000000" w:rsidRPr="00000000" w14:paraId="000001A4">
      <w:pPr>
        <w:spacing w:after="0" w:before="12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L’aggiornamento delle pagine web di “Amministrazione trasparente” può avvenire “tempestivamente”, oppure su base annuale, trimestrale o semestrale. </w:t>
      </w:r>
    </w:p>
    <w:p w:rsidR="00000000" w:rsidDel="00000000" w:rsidP="00000000" w:rsidRDefault="00000000" w:rsidRPr="00000000" w14:paraId="000001A5">
      <w:pPr>
        <w:spacing w:after="0" w:before="120"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 Nota ai dati della Colonna G: </w:t>
      </w:r>
    </w:p>
    <w:p w:rsidR="00000000" w:rsidDel="00000000" w:rsidP="00000000" w:rsidRDefault="00000000" w:rsidRPr="00000000" w14:paraId="000001A6">
      <w:pPr>
        <w:spacing w:after="0" w:before="12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L'art. 43 comma 3 del d.lgs. 33/2013 prevede che “i dirigenti responsabili degli uffici dell’amministrazione garantiscano il tempestivo e regolare flusso delle informazioni da pubblicare ai fini del rispetto dei termini stabiliti dalla legge”. </w:t>
      </w:r>
    </w:p>
    <w:p w:rsidR="00000000" w:rsidDel="00000000" w:rsidP="00000000" w:rsidRDefault="00000000" w:rsidRPr="00000000" w14:paraId="000001A7">
      <w:pPr>
        <w:spacing w:after="0" w:before="12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 dirigenti responsabili della trasmissione dei dati sono individuati nei Responsabili dei settori indicati nella colonna G. </w:t>
      </w:r>
    </w:p>
    <w:p w:rsidR="00000000" w:rsidDel="00000000" w:rsidP="00000000" w:rsidRDefault="00000000" w:rsidRPr="00000000" w14:paraId="000001A8">
      <w:pPr>
        <w:spacing w:after="0" w:before="12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 dirigenti responsabili della pubblicazione e dell’aggiornamento dei dati sono individuati nei Responsabili dei settori indicati nella colonna G. </w:t>
      </w:r>
    </w:p>
    <w:p w:rsidR="00000000" w:rsidDel="00000000" w:rsidP="00000000" w:rsidRDefault="00000000" w:rsidRPr="00000000" w14:paraId="000001A9">
      <w:pPr>
        <w:spacing w:after="0" w:before="12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AA">
      <w:pPr>
        <w:spacing w:after="0" w:before="12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L’aggiornamento di numerosi dati deve avvenire “tempestivamente”. Il legislatore, però, non ha specificato il concetto di tempestività, concetto </w:t>
      </w:r>
      <w:r w:rsidDel="00000000" w:rsidR="00000000" w:rsidRPr="00000000">
        <w:rPr>
          <w:rFonts w:ascii="Arial" w:cs="Arial" w:eastAsia="Arial" w:hAnsi="Arial"/>
          <w:sz w:val="24"/>
          <w:szCs w:val="24"/>
          <w:rtl w:val="0"/>
        </w:rPr>
        <w:t xml:space="preserve">relativo che può dar luogo a comportamenti anche molto difformi. </w:t>
      </w:r>
    </w:p>
    <w:p w:rsidR="00000000" w:rsidDel="00000000" w:rsidP="00000000" w:rsidRDefault="00000000" w:rsidRPr="00000000" w14:paraId="000001AB">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Pertanto, al fine di “rendere oggettivo” il concetto di tempestività, tutelando operatori, cittadini e amministrazione, si definisce quanto segue:</w:t>
      </w:r>
    </w:p>
    <w:p w:rsidR="00000000" w:rsidDel="00000000" w:rsidP="00000000" w:rsidRDefault="00000000" w:rsidRPr="00000000" w14:paraId="000001AC">
      <w:pPr>
        <w:spacing w:after="0" w:before="12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è tempestiva la pubblicazione di dati, informazioni e documenti quando effettuata entro n.  30 giorni dalla disponibilità degli stessi. </w:t>
      </w:r>
      <w:r w:rsidDel="00000000" w:rsidR="00000000" w:rsidRPr="00000000">
        <w:rPr>
          <w:rtl w:val="0"/>
        </w:rPr>
      </w:r>
    </w:p>
    <w:p w:rsidR="00000000" w:rsidDel="00000000" w:rsidP="00000000" w:rsidRDefault="00000000" w:rsidRPr="00000000" w14:paraId="000001AD">
      <w:pPr>
        <w:spacing w:after="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E">
      <w:pPr>
        <w:keepNext w:val="1"/>
        <w:widowControl w:val="0"/>
        <w:numPr>
          <w:ilvl w:val="1"/>
          <w:numId w:val="1"/>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L’organizzazione </w:t>
      </w:r>
      <w:r w:rsidDel="00000000" w:rsidR="00000000" w:rsidRPr="00000000">
        <w:rPr>
          <w:rFonts w:ascii="Arial" w:cs="Arial" w:eastAsia="Arial" w:hAnsi="Arial"/>
          <w:b w:val="1"/>
          <w:color w:val="0f243e"/>
          <w:sz w:val="24"/>
          <w:szCs w:val="24"/>
          <w:rtl w:val="0"/>
        </w:rPr>
        <w:t xml:space="preserve">dell’attività di pubblicazione</w:t>
      </w:r>
      <w:r w:rsidDel="00000000" w:rsidR="00000000" w:rsidRPr="00000000">
        <w:rPr>
          <w:rtl w:val="0"/>
        </w:rPr>
      </w:r>
    </w:p>
    <w:p w:rsidR="00000000" w:rsidDel="00000000" w:rsidP="00000000" w:rsidRDefault="00000000" w:rsidRPr="00000000" w14:paraId="000001AF">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referenti per la trasparenza, che coadiuvano il RPCT nello svolgimento delle attività previste dal d.lgs. 33/2013, sono gli stessi Responsabili dei settori indicati nella colonna G. </w:t>
      </w:r>
    </w:p>
    <w:p w:rsidR="00000000" w:rsidDel="00000000" w:rsidP="00000000" w:rsidRDefault="00000000" w:rsidRPr="00000000" w14:paraId="000001B0">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L’ufficio Relazioni con il Pubblico è incaricato della gestione della sezione Amministrazione trasparente. </w:t>
      </w:r>
    </w:p>
    <w:p w:rsidR="00000000" w:rsidDel="00000000" w:rsidP="00000000" w:rsidRDefault="00000000" w:rsidRPr="00000000" w14:paraId="000001B1">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Gli uffici depositari dei dati, delle informazioni e dei documenti da pubblicare (indicati nella Colonna G) trasmettono via email a detto ufficio i dati, le informazioni ed i documenti previsti nella Colonna E, all’Ufficio preposto alla gestione del sito il quale provvede alla pubblicazione entro giorni 30 giorni dalla ricezione</w:t>
      </w:r>
    </w:p>
    <w:p w:rsidR="00000000" w:rsidDel="00000000" w:rsidP="00000000" w:rsidRDefault="00000000" w:rsidRPr="00000000" w14:paraId="000001B2">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Responsabile anticorruzione e per la trasparenza sovrintende e verifica: il tempestivo invio dei dati, delle informazioni e dei documenti dagli uffici depositari all’ufficio preposto alla gestione del sito; la tempestiva pubblicazione da parte dell’ufficio preposto alla gestione del sito; assicura la completezza, la chiarezza e l'aggiornamento delle informazioni.</w:t>
      </w:r>
    </w:p>
    <w:p w:rsidR="00000000" w:rsidDel="00000000" w:rsidP="00000000" w:rsidRDefault="00000000" w:rsidRPr="00000000" w14:paraId="000001B3">
      <w:pPr>
        <w:spacing w:after="0" w:before="120" w:line="240" w:lineRule="auto"/>
        <w:jc w:val="both"/>
        <w:rPr>
          <w:rFonts w:ascii="Arial" w:cs="Arial" w:eastAsia="Arial" w:hAnsi="Arial"/>
          <w:color w:val="0f243e"/>
          <w:sz w:val="24"/>
          <w:szCs w:val="24"/>
        </w:rPr>
      </w:pPr>
      <w:r w:rsidDel="00000000" w:rsidR="00000000" w:rsidRPr="00000000">
        <w:rPr>
          <w:rtl w:val="0"/>
        </w:rPr>
      </w:r>
    </w:p>
    <w:p w:rsidR="00000000" w:rsidDel="00000000" w:rsidP="00000000" w:rsidRDefault="00000000" w:rsidRPr="00000000" w14:paraId="000001B4">
      <w:pPr>
        <w:keepNext w:val="1"/>
        <w:widowControl w:val="0"/>
        <w:numPr>
          <w:ilvl w:val="1"/>
          <w:numId w:val="1"/>
        </w:numPr>
        <w:pBdr>
          <w:top w:space="0" w:sz="0" w:val="nil"/>
          <w:left w:space="0" w:sz="0" w:val="nil"/>
          <w:bottom w:space="0" w:sz="0" w:val="nil"/>
          <w:right w:space="0" w:sz="0" w:val="nil"/>
          <w:between w:space="0" w:sz="0" w:val="nil"/>
        </w:pBdr>
        <w:spacing w:after="0" w:before="120" w:line="240" w:lineRule="auto"/>
        <w:ind w:left="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La pubblicazione di dati ulteriori</w:t>
      </w:r>
    </w:p>
    <w:p w:rsidR="00000000" w:rsidDel="00000000" w:rsidP="00000000" w:rsidRDefault="00000000" w:rsidRPr="00000000" w14:paraId="000001B5">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pubblicazione puntuale e tempestiva dei dati e delle informazioni elencate dal legislatore è più che sufficiente per assicurare la trasparenza dell’azione amministrativa di questo ente.  </w:t>
      </w:r>
    </w:p>
    <w:p w:rsidR="00000000" w:rsidDel="00000000" w:rsidP="00000000" w:rsidRDefault="00000000" w:rsidRPr="00000000" w14:paraId="000001B6">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Pertanto, non è prevista la pubblicazione di ulteriori informazioni. </w:t>
      </w:r>
    </w:p>
    <w:p w:rsidR="00000000" w:rsidDel="00000000" w:rsidP="00000000" w:rsidRDefault="00000000" w:rsidRPr="00000000" w14:paraId="000001B7">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ogni caso, i dirigenti Responsabili dei settori/uffici indicati nella colonna G, possono pubblicare i dati e le informazioni che ritengono necessari per assicurare la migliore trasparenza sostanziale dell’azione amministrativa. </w:t>
      </w:r>
    </w:p>
    <w:p w:rsidR="00000000" w:rsidDel="00000000" w:rsidP="00000000" w:rsidRDefault="00000000" w:rsidRPr="00000000" w14:paraId="000001B8">
      <w:pPr>
        <w:spacing w:after="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9">
      <w:pPr>
        <w:spacing w:after="0" w:before="120" w:line="240" w:lineRule="auto"/>
        <w:rPr>
          <w:rFonts w:ascii="Arial" w:cs="Arial" w:eastAsia="Arial" w:hAnsi="Arial"/>
          <w:b w:val="1"/>
          <w:color w:val="0f243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BA">
      <w:pPr>
        <w:keepNext w:val="1"/>
        <w:widowControl w:val="0"/>
        <w:pBdr>
          <w:top w:space="0" w:sz="0" w:val="nil"/>
          <w:left w:space="0" w:sz="0" w:val="nil"/>
          <w:bottom w:space="0" w:sz="0" w:val="nil"/>
          <w:right w:space="0" w:sz="0" w:val="nil"/>
          <w:between w:space="0" w:sz="0" w:val="nil"/>
        </w:pBdr>
        <w:spacing w:after="0" w:before="12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BB">
      <w:pPr>
        <w:keepNext w:val="1"/>
        <w:widowControl w:val="0"/>
        <w:numPr>
          <w:ilvl w:val="0"/>
          <w:numId w:val="1"/>
        </w:numPr>
        <w:pBdr>
          <w:top w:space="0" w:sz="0" w:val="nil"/>
          <w:left w:space="0" w:sz="0" w:val="nil"/>
          <w:bottom w:space="0" w:sz="0" w:val="nil"/>
          <w:right w:space="0" w:sz="0" w:val="nil"/>
          <w:between w:space="0" w:sz="0" w:val="nil"/>
        </w:pBdr>
        <w:shd w:fill="d9d9d9" w:val="clear"/>
        <w:spacing w:after="240" w:before="120" w:line="240" w:lineRule="auto"/>
        <w:ind w:left="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Il monitoraggio e il riesame delle misure</w:t>
      </w:r>
    </w:p>
    <w:p w:rsidR="00000000" w:rsidDel="00000000" w:rsidP="00000000" w:rsidRDefault="00000000" w:rsidRPr="00000000" w14:paraId="000001BC">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processo di prevenzione della corruzione si articola in quattro macrofasi: l’analisi del contesto; la valutazione del rischio; il trattamento; infine, la macro fase del “monitoraggio” e del “riesame” delle singole misure e del sistema nel suo complesso.  </w:t>
      </w:r>
    </w:p>
    <w:p w:rsidR="00000000" w:rsidDel="00000000" w:rsidP="00000000" w:rsidRDefault="00000000" w:rsidRPr="00000000" w14:paraId="000001BD">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Monitoraggio e riesame periodico sono stadi essenziali dell’intero processo di gestione del rischio, che consentono di verificare attuazione e adeguatezza delle misure di prevenzione della corruzione, nonché il complessivo funzionamento del processo consentendo, in tal modo, di apportare tempestivamente i correttivi che si rendessero necessari. </w:t>
      </w:r>
    </w:p>
    <w:p w:rsidR="00000000" w:rsidDel="00000000" w:rsidP="00000000" w:rsidRDefault="00000000" w:rsidRPr="00000000" w14:paraId="000001BE">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Monitoraggio e riesame sono attività distinte, ma strettamente collegate tra loro: </w:t>
      </w:r>
    </w:p>
    <w:p w:rsidR="00000000" w:rsidDel="00000000" w:rsidP="00000000" w:rsidRDefault="00000000" w:rsidRPr="00000000" w14:paraId="000001BF">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monitoraggio è l’“attività continuativa di verifica dell’attuazione e dell’idoneità delle singole misure di trattamento del rischio”;  </w:t>
      </w:r>
    </w:p>
    <w:p w:rsidR="00000000" w:rsidDel="00000000" w:rsidP="00000000" w:rsidRDefault="00000000" w:rsidRPr="00000000" w14:paraId="000001C0">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è ripartito in due “sotto-fasi”: 1- il monitoraggio dell’attuazione delle misure di trattamento del rischio; 2- il monitoraggio della idoneità delle misure di trattamento del rischio; </w:t>
      </w:r>
    </w:p>
    <w:p w:rsidR="00000000" w:rsidDel="00000000" w:rsidP="00000000" w:rsidRDefault="00000000" w:rsidRPr="00000000" w14:paraId="000001C1">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riesame, invece, è l’attività “svolta ad intervalli programmati che riguarda il funzionamento del sistema nel suo complesso” (Allegato n. 1 del PNA 2019, pag. 46).  </w:t>
      </w:r>
    </w:p>
    <w:p w:rsidR="00000000" w:rsidDel="00000000" w:rsidP="00000000" w:rsidRDefault="00000000" w:rsidRPr="00000000" w14:paraId="000001C2">
      <w:pP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risultati del monitoraggio devono essere utilizzati per svolgere il riesame periodico della funzionalità complessiva del sistema e delle politiche di contrasto della corruzione.</w:t>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monitoraggio circa l’applicazione del presente è svolto in autonomia dal RPCT.  </w:t>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Ai fini del monitoraggio i dirigenti/responsabili sono tenuti a collaborare con il Responsabile della prevenzione della corruzione e forniscono ogni informazione che lo stesso ritenga utile.  </w:t>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0" w:before="120" w:line="240" w:lineRule="auto"/>
        <w:jc w:val="both"/>
        <w:rPr>
          <w:rFonts w:ascii="Arial" w:cs="Arial" w:eastAsia="Arial" w:hAnsi="Arial"/>
          <w:color w:val="ff0000"/>
          <w:sz w:val="24"/>
          <w:szCs w:val="24"/>
        </w:rPr>
      </w:pPr>
      <w:r w:rsidDel="00000000" w:rsidR="00000000" w:rsidRPr="00000000">
        <w:rPr>
          <w:rtl w:val="0"/>
        </w:rPr>
      </w:r>
    </w:p>
    <w:sectPr>
      <w:footerReference r:id="rId10" w:type="default"/>
      <w:pgSz w:h="16838" w:w="11906" w:orient="portrait"/>
      <w:pgMar w:bottom="1440" w:top="1440" w:left="1985" w:right="1985" w:header="709" w:footer="709"/>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Georgi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6">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800" w:hanging="144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520" w:hanging="2160"/>
      </w:pPr>
      <w:rPr/>
    </w:lvl>
    <w:lvl w:ilvl="8">
      <w:start w:val="1"/>
      <w:numFmt w:val="decimal"/>
      <w:lvlText w:val="%1.%2.%3.%4.%5.%6.%7.%8.%9."/>
      <w:lvlJc w:val="left"/>
      <w:pPr>
        <w:ind w:left="2520" w:hanging="2160"/>
      </w:pPr>
      <w:rPr/>
    </w:lvl>
  </w:abstractNum>
  <w:abstractNum w:abstractNumId="2">
    <w:lvl w:ilvl="0">
      <w:start w:val="1"/>
      <w:numFmt w:val="decimal"/>
      <w:lvlText w:val="%1."/>
      <w:lvlJc w:val="left"/>
      <w:pPr>
        <w:ind w:left="360" w:hanging="360"/>
      </w:pPr>
      <w:rPr>
        <w:rFonts w:ascii="Book Antiqua" w:cs="Book Antiqua" w:eastAsia="Book Antiqua" w:hAnsi="Book Antiqua"/>
        <w:sz w:val="18"/>
        <w:szCs w:val="18"/>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lowerLetter"/>
      <w:lvlText w:val="%1)"/>
      <w:lvlJc w:val="left"/>
      <w:pPr>
        <w:ind w:left="360" w:hanging="360"/>
      </w:pPr>
      <w:rPr>
        <w:sz w:val="18"/>
        <w:szCs w:val="18"/>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5"/>
      <w:numFmt w:val="decimal"/>
      <w:lvlText w:val="%1."/>
      <w:lvlJc w:val="left"/>
      <w:pPr>
        <w:ind w:left="720" w:hanging="360"/>
      </w:pPr>
      <w:rPr/>
    </w:lvl>
    <w:lvl w:ilvl="1">
      <w:start w:val="5"/>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800" w:hanging="144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520" w:hanging="2160"/>
      </w:pPr>
      <w:rPr/>
    </w:lvl>
    <w:lvl w:ilvl="8">
      <w:start w:val="1"/>
      <w:numFmt w:val="decimal"/>
      <w:lvlText w:val="%1.%2.%3.%4.%5.%6.%7.%8.%9."/>
      <w:lvlJc w:val="left"/>
      <w:pPr>
        <w:ind w:left="2520" w:hanging="2160"/>
      </w:pPr>
      <w:rPr/>
    </w:lvl>
  </w:abstractNum>
  <w:abstractNum w:abstractNumId="5">
    <w:lvl w:ilvl="0">
      <w:start w:val="1"/>
      <w:numFmt w:val="lowerLetter"/>
      <w:lvlText w:val="%1)"/>
      <w:lvlJc w:val="left"/>
      <w:pPr>
        <w:ind w:left="360" w:hanging="360"/>
      </w:pPr>
      <w:rPr>
        <w:rFonts w:ascii="Book Antiqua" w:cs="Book Antiqua" w:eastAsia="Book Antiqua" w:hAnsi="Book Antiqua"/>
        <w:b w:val="0"/>
        <w:i w:val="0"/>
        <w:sz w:val="24"/>
        <w:szCs w:val="24"/>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3"/>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800" w:hanging="144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520" w:hanging="2160"/>
      </w:pPr>
      <w:rPr/>
    </w:lvl>
    <w:lvl w:ilvl="8">
      <w:start w:val="1"/>
      <w:numFmt w:val="decimal"/>
      <w:lvlText w:val="%1.%2.%3.%4.%5.%6.%7.%8.%9."/>
      <w:lvlJc w:val="left"/>
      <w:pPr>
        <w:ind w:left="2520" w:hanging="2160"/>
      </w:pPr>
      <w:rPr/>
    </w:lvl>
  </w:abstractNum>
  <w:abstractNum w:abstractNumId="7">
    <w:lvl w:ilvl="0">
      <w:start w:val="1"/>
      <w:numFmt w:val="decimal"/>
      <w:lvlText w:val="%1."/>
      <w:lvlJc w:val="left"/>
      <w:pPr>
        <w:ind w:left="360" w:hanging="360"/>
      </w:pPr>
      <w:rPr>
        <w:b w:val="0"/>
        <w:i w:val="0"/>
        <w:sz w:val="24"/>
        <w:szCs w:val="24"/>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bullet"/>
      <w:lvlText w:val="●"/>
      <w:lvlJc w:val="left"/>
      <w:pPr>
        <w:ind w:left="0" w:firstLine="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decimal"/>
      <w:lvlText w:val="%1."/>
      <w:lvlJc w:val="left"/>
      <w:pPr>
        <w:ind w:left="720" w:hanging="360"/>
      </w:pPr>
      <w:rPr/>
    </w:lvl>
    <w:lvl w:ilvl="1">
      <w:start w:val="1"/>
      <w:numFmt w:val="decimal"/>
      <w:lvlText w:val="5.14.1"/>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800" w:hanging="144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520" w:hanging="2160"/>
      </w:pPr>
      <w:rPr/>
    </w:lvl>
    <w:lvl w:ilvl="8">
      <w:start w:val="1"/>
      <w:numFmt w:val="decimal"/>
      <w:lvlText w:val="%1.%2.%3.%4.%5.%6.%7.%8.%9."/>
      <w:lvlJc w:val="left"/>
      <w:pPr>
        <w:ind w:left="2520" w:hanging="2160"/>
      </w:pPr>
      <w:rPr/>
    </w:lvl>
  </w:abstractNum>
  <w:abstractNum w:abstractNumId="10">
    <w:lvl w:ilvl="0">
      <w:start w:val="1"/>
      <w:numFmt w:val="bullet"/>
      <w:lvlText w:val="●"/>
      <w:lvlJc w:val="left"/>
      <w:pPr>
        <w:ind w:left="0" w:firstLine="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lowerLetter"/>
      <w:lvlText w:val="%1)"/>
      <w:lvlJc w:val="left"/>
      <w:pPr>
        <w:ind w:left="360" w:hanging="360"/>
      </w:pPr>
      <w:rPr>
        <w:rFonts w:ascii="Book Antiqua" w:cs="Book Antiqua" w:eastAsia="Book Antiqua" w:hAnsi="Book Antiqua"/>
        <w:b w:val="0"/>
        <w:i w:val="0"/>
        <w:sz w:val="24"/>
        <w:szCs w:val="24"/>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5"/>
      <w:numFmt w:val="decimal"/>
      <w:lvlText w:val="%1."/>
      <w:lvlJc w:val="left"/>
      <w:pPr>
        <w:ind w:left="720" w:hanging="360"/>
      </w:pPr>
      <w:rPr/>
    </w:lvl>
    <w:lvl w:ilvl="1">
      <w:start w:val="14"/>
      <w:numFmt w:val="decimal"/>
      <w:lvlText w:val="%1.%2."/>
      <w:lvlJc w:val="left"/>
      <w:pPr>
        <w:ind w:left="1080" w:hanging="720"/>
      </w:pPr>
      <w:rPr/>
    </w:lvl>
    <w:lvl w:ilvl="2">
      <w:start w:val="5"/>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800" w:hanging="144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520" w:hanging="2160"/>
      </w:pPr>
      <w:rPr/>
    </w:lvl>
    <w:lvl w:ilvl="8">
      <w:start w:val="1"/>
      <w:numFmt w:val="decimal"/>
      <w:lvlText w:val="%1.%2.%3.%4.%5.%6.%7.%8.%9."/>
      <w:lvlJc w:val="left"/>
      <w:pPr>
        <w:ind w:left="2520" w:hanging="2160"/>
      </w:pPr>
      <w:rPr/>
    </w:lvl>
  </w:abstractNum>
  <w:abstractNum w:abstractNumId="13">
    <w:lvl w:ilvl="0">
      <w:start w:val="1"/>
      <w:numFmt w:val="decimal"/>
      <w:lvlText w:val="%1."/>
      <w:lvlJc w:val="left"/>
      <w:pPr>
        <w:ind w:left="360" w:hanging="360"/>
      </w:pPr>
      <w:rPr>
        <w:b w:val="0"/>
        <w:i w:val="0"/>
        <w:sz w:val="24"/>
        <w:szCs w:val="24"/>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5"/>
      <w:numFmt w:val="decimal"/>
      <w:lvlText w:val="%1"/>
      <w:lvlJc w:val="left"/>
      <w:pPr>
        <w:ind w:left="672" w:hanging="672"/>
      </w:pPr>
      <w:rPr/>
    </w:lvl>
    <w:lvl w:ilvl="1">
      <w:start w:val="14"/>
      <w:numFmt w:val="decimal"/>
      <w:lvlText w:val="%1.%2"/>
      <w:lvlJc w:val="left"/>
      <w:pPr>
        <w:ind w:left="852" w:hanging="672"/>
      </w:pPr>
      <w:rPr/>
    </w:lvl>
    <w:lvl w:ilvl="2">
      <w:start w:val="2"/>
      <w:numFmt w:val="decimal"/>
      <w:lvlText w:val="%1.%2.%3"/>
      <w:lvlJc w:val="left"/>
      <w:pPr>
        <w:ind w:left="1080" w:hanging="720"/>
      </w:pPr>
      <w:rPr/>
    </w:lvl>
    <w:lvl w:ilvl="3">
      <w:start w:val="1"/>
      <w:numFmt w:val="decimal"/>
      <w:lvlText w:val="%1.%2.%3.%4"/>
      <w:lvlJc w:val="left"/>
      <w:pPr>
        <w:ind w:left="1620" w:hanging="1080"/>
      </w:pPr>
      <w:rPr/>
    </w:lvl>
    <w:lvl w:ilvl="4">
      <w:start w:val="1"/>
      <w:numFmt w:val="decimal"/>
      <w:lvlText w:val="%1.%2.%3.%4.%5"/>
      <w:lvlJc w:val="left"/>
      <w:pPr>
        <w:ind w:left="1800" w:hanging="1080"/>
      </w:pPr>
      <w:rPr/>
    </w:lvl>
    <w:lvl w:ilvl="5">
      <w:start w:val="1"/>
      <w:numFmt w:val="decimal"/>
      <w:lvlText w:val="%1.%2.%3.%4.%5.%6"/>
      <w:lvlJc w:val="left"/>
      <w:pPr>
        <w:ind w:left="2340" w:hanging="1440"/>
      </w:pPr>
      <w:rPr/>
    </w:lvl>
    <w:lvl w:ilvl="6">
      <w:start w:val="1"/>
      <w:numFmt w:val="decimal"/>
      <w:lvlText w:val="%1.%2.%3.%4.%5.%6.%7"/>
      <w:lvlJc w:val="left"/>
      <w:pPr>
        <w:ind w:left="2520" w:hanging="1440"/>
      </w:pPr>
      <w:rPr/>
    </w:lvl>
    <w:lvl w:ilvl="7">
      <w:start w:val="1"/>
      <w:numFmt w:val="decimal"/>
      <w:lvlText w:val="%1.%2.%3.%4.%5.%6.%7.%8"/>
      <w:lvlJc w:val="left"/>
      <w:pPr>
        <w:ind w:left="3060" w:hanging="1800"/>
      </w:pPr>
      <w:rPr/>
    </w:lvl>
    <w:lvl w:ilvl="8">
      <w:start w:val="1"/>
      <w:numFmt w:val="decimal"/>
      <w:lvlText w:val="%1.%2.%3.%4.%5.%6.%7.%8.%9"/>
      <w:lvlJc w:val="left"/>
      <w:pPr>
        <w:ind w:left="3240" w:hanging="1800"/>
      </w:pPr>
      <w:rPr/>
    </w:lvl>
  </w:abstractNum>
  <w:abstractNum w:abstractNumId="15">
    <w:lvl w:ilvl="0">
      <w:start w:val="1"/>
      <w:numFmt w:val="bullet"/>
      <w:lvlText w:val="●"/>
      <w:lvlJc w:val="left"/>
      <w:pPr>
        <w:ind w:left="0" w:firstLine="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widowControl w:val="0"/>
      <w:spacing w:after="0" w:lineRule="auto"/>
      <w:jc w:val="both"/>
    </w:pPr>
    <w:rPr>
      <w:rFonts w:ascii="Courier New" w:cs="Courier New" w:eastAsia="Courier New" w:hAnsi="Courier New"/>
      <w:b w:val="1"/>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0" w:before="240"/>
      <w:outlineLvl w:val="0"/>
    </w:pPr>
    <w:rPr>
      <w:rFonts w:ascii="Cambria" w:cs="Cambria" w:eastAsia="Cambria" w:hAnsi="Cambria"/>
      <w:color w:val="366091"/>
      <w:sz w:val="32"/>
      <w:szCs w:val="32"/>
    </w:rPr>
  </w:style>
  <w:style w:type="paragraph" w:styleId="Titolo2">
    <w:name w:val="heading 2"/>
    <w:basedOn w:val="Normale"/>
    <w:next w:val="Normale"/>
    <w:uiPriority w:val="9"/>
    <w:semiHidden w:val="1"/>
    <w:unhideWhenUsed w:val="1"/>
    <w:qFormat w:val="1"/>
    <w:pPr>
      <w:keepNext w:val="1"/>
      <w:widowControl w:val="0"/>
      <w:spacing w:after="0"/>
      <w:jc w:val="both"/>
      <w:outlineLvl w:val="1"/>
    </w:pPr>
    <w:rPr>
      <w:rFonts w:ascii="Courier New" w:cs="Courier New" w:eastAsia="Courier New" w:hAnsi="Courier New"/>
      <w:b w:val="1"/>
      <w:sz w:val="20"/>
      <w:szCs w:val="20"/>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2" w:customStyle="1">
    <w:name w:val="2"/>
    <w:basedOn w:val="TableNormal"/>
    <w:tblPr>
      <w:tblStyleRowBandSize w:val="1"/>
      <w:tblStyleColBandSize w:val="1"/>
      <w:tblCellMar>
        <w:left w:w="108.0" w:type="dxa"/>
        <w:right w:w="108.0" w:type="dxa"/>
      </w:tblCellMar>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1" w:customStyle="1">
    <w:name w:val="1"/>
    <w:basedOn w:val="TableNormal"/>
    <w:tblPr>
      <w:tblStyleRowBandSize w:val="1"/>
      <w:tblStyleColBandSize w:val="1"/>
      <w:tblCellMar>
        <w:left w:w="108.0" w:type="dxa"/>
        <w:right w:w="108.0" w:type="dxa"/>
      </w:tblCellMar>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paragraph" w:styleId="Paragrafoelenco">
    <w:name w:val="List Paragraph"/>
    <w:basedOn w:val="Normale"/>
    <w:uiPriority w:val="34"/>
    <w:qFormat w:val="1"/>
    <w:rsid w:val="001F2E2C"/>
    <w:pPr>
      <w:ind w:left="720"/>
      <w:contextualSpacing w:val="1"/>
    </w:pPr>
  </w:style>
  <w:style w:type="paragraph" w:styleId="Intestazione">
    <w:name w:val="header"/>
    <w:basedOn w:val="Normale"/>
    <w:link w:val="IntestazioneCarattere"/>
    <w:uiPriority w:val="99"/>
    <w:unhideWhenUsed w:val="1"/>
    <w:rsid w:val="002F58BC"/>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2F58BC"/>
  </w:style>
  <w:style w:type="paragraph" w:styleId="Pidipagina">
    <w:name w:val="footer"/>
    <w:basedOn w:val="Normale"/>
    <w:link w:val="PidipaginaCarattere"/>
    <w:uiPriority w:val="99"/>
    <w:unhideWhenUsed w:val="1"/>
    <w:rsid w:val="002F58BC"/>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2F58BC"/>
  </w:style>
  <w:style w:type="paragraph" w:styleId="NormaleWeb">
    <w:name w:val="Normal (Web)"/>
    <w:basedOn w:val="Normale"/>
    <w:uiPriority w:val="99"/>
    <w:semiHidden w:val="1"/>
    <w:unhideWhenUsed w:val="1"/>
    <w:rsid w:val="00990434"/>
    <w:pPr>
      <w:spacing w:after="100" w:afterAutospacing="1" w:before="100" w:beforeAutospacing="1" w:line="240" w:lineRule="auto"/>
    </w:pPr>
    <w:rPr>
      <w:rFonts w:ascii="Times New Roman" w:cs="Times New Roman" w:eastAsia="Times New Roman" w:hAnsi="Times New Roman"/>
      <w:sz w:val="24"/>
      <w:szCs w:val="24"/>
    </w:rPr>
  </w:style>
  <w:style w:type="character" w:styleId="Enfasigrassetto">
    <w:name w:val="Strong"/>
    <w:basedOn w:val="Carpredefinitoparagrafo"/>
    <w:uiPriority w:val="22"/>
    <w:qFormat w:val="1"/>
    <w:rsid w:val="00990434"/>
    <w:rPr>
      <w:b w:val="1"/>
      <w:bCs w:val="1"/>
    </w:rPr>
  </w:style>
  <w:style w:type="character" w:styleId="Collegamentoipertestuale">
    <w:name w:val="Hyperlink"/>
    <w:basedOn w:val="Carpredefinitoparagrafo"/>
    <w:uiPriority w:val="99"/>
    <w:unhideWhenUsed w:val="1"/>
    <w:rsid w:val="00990434"/>
    <w:rPr>
      <w:color w:val="0000ff"/>
      <w:u w:val="single"/>
    </w:rPr>
  </w:style>
  <w:style w:type="paragraph" w:styleId="Default" w:customStyle="1">
    <w:name w:val="Default"/>
    <w:rsid w:val="007B3462"/>
    <w:pPr>
      <w:autoSpaceDE w:val="0"/>
      <w:autoSpaceDN w:val="0"/>
      <w:adjustRightInd w:val="0"/>
      <w:spacing w:after="0" w:line="240" w:lineRule="auto"/>
    </w:pPr>
    <w:rPr>
      <w:rFonts w:ascii="Trebuchet MS" w:cs="Trebuchet MS" w:hAnsi="Trebuchet MS"/>
      <w:color w:val="000000"/>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2">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servizi.anticorruzione.it/segnalazion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mune.molinella.bo.it/files/allegati/codice%20disciplinare%20aggiornato%20ccnl%202019-2021.pdf" TargetMode="External"/><Relationship Id="rId8" Type="http://schemas.openxmlformats.org/officeDocument/2006/relationships/hyperlink" Target="https://www.comune.molinella.bo.it/files/allegati/codice%20disciplinare%20aggiornato%20ccnl%202019-20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lt1l996AtV8XNzMW6dPAe9f7iw==">CgMxLjAyCWguM2oycXFtMzIJaC40aTdvamhwMgloLjN3aHdtbDQyCWguMnAyY3NyeTIJaC4zbzdhbG5rMghoLmlodjYzNjIJaC4zMmhpb3F6MgloLjE5YzZ5MTgyCWguMW1yY3UwOTIJaC40azY2OG4zMgloLjFrc3Y0dXY4AHIhMWFpUG9ORzlBSm83UlRDREZxSUFVSU52QjhHbTF1Nklk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2024-05-16T13:54:00Z</dcterms:created>
  <dc:creator>Angelina Marano</dc:creator>
</cp:coreProperties>
</file>